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FE32" w14:textId="67BF2343" w:rsidR="00EA3A4D" w:rsidRPr="00D92FF1" w:rsidRDefault="0024482F">
      <w:pPr>
        <w:rPr>
          <w:b/>
          <w:bCs/>
          <w:sz w:val="36"/>
          <w:szCs w:val="36"/>
        </w:rPr>
      </w:pPr>
      <w:r w:rsidRPr="00D92FF1">
        <w:rPr>
          <w:b/>
          <w:bCs/>
          <w:i/>
          <w:iCs/>
          <w:sz w:val="36"/>
          <w:szCs w:val="36"/>
        </w:rPr>
        <w:t xml:space="preserve">Open Palaeontology </w:t>
      </w:r>
      <w:r w:rsidRPr="00D92FF1">
        <w:rPr>
          <w:b/>
          <w:bCs/>
          <w:sz w:val="36"/>
          <w:szCs w:val="36"/>
        </w:rPr>
        <w:t>style guide</w:t>
      </w:r>
    </w:p>
    <w:p w14:paraId="0950CC6D" w14:textId="77777777" w:rsidR="0024482F" w:rsidRDefault="0024482F">
      <w:pPr>
        <w:rPr>
          <w:b/>
          <w:bCs/>
        </w:rPr>
      </w:pPr>
    </w:p>
    <w:p w14:paraId="7076AAA1" w14:textId="3EC3624F" w:rsidR="0024482F" w:rsidRDefault="0024482F">
      <w:r>
        <w:t xml:space="preserve">Please use this guide to format your text submission for </w:t>
      </w:r>
      <w:r>
        <w:rPr>
          <w:i/>
          <w:iCs/>
        </w:rPr>
        <w:t>Open Palaeontology</w:t>
      </w:r>
      <w:r>
        <w:t xml:space="preserve">. Ideally, this should be done prior to submission (whether for </w:t>
      </w:r>
      <w:proofErr w:type="spellStart"/>
      <w:r>
        <w:t>preprinting</w:t>
      </w:r>
      <w:proofErr w:type="spellEnd"/>
      <w:r>
        <w:t xml:space="preserve"> or </w:t>
      </w:r>
      <w:r w:rsidR="000E4CEA">
        <w:t xml:space="preserve">for </w:t>
      </w:r>
      <w:r>
        <w:t xml:space="preserve">peer review), though these are </w:t>
      </w:r>
      <w:r w:rsidR="00882D08">
        <w:t>guidelines,</w:t>
      </w:r>
      <w:r>
        <w:t xml:space="preserve"> and we do not provide detailed copy</w:t>
      </w:r>
      <w:r w:rsidR="000A746A">
        <w:t>-</w:t>
      </w:r>
      <w:r>
        <w:t>editing services except in exceptional circumstances where assistance is needed with clarity.</w:t>
      </w:r>
    </w:p>
    <w:p w14:paraId="2B2DB555" w14:textId="77777777" w:rsidR="00EF679F" w:rsidRDefault="00EF679F"/>
    <w:p w14:paraId="6F75A870" w14:textId="3875C049" w:rsidR="00EF679F" w:rsidRDefault="00EF679F">
      <w:r>
        <w:t xml:space="preserve">Authors are </w:t>
      </w:r>
      <w:r w:rsidRPr="00173EC2">
        <w:rPr>
          <w:b/>
          <w:bCs/>
        </w:rPr>
        <w:t>not required to submit a cover letter</w:t>
      </w:r>
      <w:r>
        <w:t xml:space="preserve"> with their </w:t>
      </w:r>
      <w:r w:rsidR="00B47C80">
        <w:t>submission but</w:t>
      </w:r>
      <w:r>
        <w:t xml:space="preserve"> are free to do so if they desire.</w:t>
      </w:r>
    </w:p>
    <w:p w14:paraId="69A490A9" w14:textId="77777777" w:rsidR="0049172D" w:rsidRDefault="0049172D"/>
    <w:p w14:paraId="67BC80AB" w14:textId="74634E2A" w:rsidR="00BF6DB6" w:rsidRPr="00D92FF1" w:rsidRDefault="0049172D" w:rsidP="00BF6DB6">
      <w:pPr>
        <w:rPr>
          <w:b/>
          <w:bCs/>
          <w:sz w:val="28"/>
          <w:szCs w:val="28"/>
        </w:rPr>
      </w:pPr>
      <w:r w:rsidRPr="00D92FF1">
        <w:rPr>
          <w:b/>
          <w:bCs/>
          <w:sz w:val="28"/>
          <w:szCs w:val="28"/>
        </w:rPr>
        <w:t xml:space="preserve">1 </w:t>
      </w:r>
      <w:r w:rsidR="00BF6DB6" w:rsidRPr="00D92FF1">
        <w:rPr>
          <w:b/>
          <w:bCs/>
          <w:sz w:val="28"/>
          <w:szCs w:val="28"/>
        </w:rPr>
        <w:t>Templates and typesetting</w:t>
      </w:r>
    </w:p>
    <w:p w14:paraId="5DEC0705" w14:textId="29ACED4F" w:rsidR="00BF6DB6" w:rsidRPr="0097304C" w:rsidRDefault="00AF1A48" w:rsidP="00BF6DB6">
      <w:pPr>
        <w:rPr>
          <w:b/>
          <w:bCs/>
        </w:rPr>
      </w:pPr>
      <w:r>
        <w:t>For initial submissions:</w:t>
      </w:r>
      <w:r w:rsidRPr="002A4DDF">
        <w:rPr>
          <w:color w:val="77206D" w:themeColor="accent5" w:themeShade="BF"/>
        </w:rPr>
        <w:t xml:space="preserve"> </w:t>
      </w:r>
      <w:r w:rsidRPr="002A4DDF">
        <w:rPr>
          <w:b/>
          <w:bCs/>
          <w:color w:val="77206D" w:themeColor="accent5" w:themeShade="BF"/>
        </w:rPr>
        <w:t>a</w:t>
      </w:r>
      <w:r w:rsidR="00BF6DB6" w:rsidRPr="002A4DDF">
        <w:rPr>
          <w:b/>
          <w:bCs/>
          <w:color w:val="77206D" w:themeColor="accent5" w:themeShade="BF"/>
        </w:rPr>
        <w:t xml:space="preserve"> .docx template for general manuscript structure is </w:t>
      </w:r>
      <w:r w:rsidR="00BF6DB6" w:rsidRPr="004C73C2">
        <w:rPr>
          <w:b/>
          <w:bCs/>
          <w:color w:val="77206D" w:themeColor="accent5" w:themeShade="BF"/>
        </w:rPr>
        <w:t xml:space="preserve">provided </w:t>
      </w:r>
      <w:hyperlink r:id="rId7" w:history="1">
        <w:r w:rsidR="00BF6DB6" w:rsidRPr="004C73C2">
          <w:rPr>
            <w:rStyle w:val="Hyperlink"/>
            <w:b/>
            <w:bCs/>
          </w:rPr>
          <w:t>here</w:t>
        </w:r>
      </w:hyperlink>
      <w:r w:rsidR="00BF6DB6" w:rsidRPr="002A4DDF">
        <w:rPr>
          <w:b/>
          <w:bCs/>
          <w:color w:val="77206D" w:themeColor="accent5" w:themeShade="BF"/>
        </w:rPr>
        <w:t xml:space="preserve"> and should be used at minimum.</w:t>
      </w:r>
    </w:p>
    <w:p w14:paraId="42D629C0" w14:textId="7693D9D1" w:rsidR="00BF6DB6" w:rsidRPr="00BF6DB6" w:rsidRDefault="00AF1A48" w:rsidP="00BF6DB6">
      <w:r>
        <w:t>If desired</w:t>
      </w:r>
      <w:r w:rsidR="00090E43">
        <w:t xml:space="preserve"> for preprints or post-review</w:t>
      </w:r>
      <w:r>
        <w:t xml:space="preserve">: </w:t>
      </w:r>
      <w:r w:rsidRPr="002A4DDF">
        <w:rPr>
          <w:b/>
          <w:bCs/>
          <w:color w:val="77206D" w:themeColor="accent5" w:themeShade="BF"/>
        </w:rPr>
        <w:t>a</w:t>
      </w:r>
      <w:r w:rsidR="00BF6DB6" w:rsidRPr="002A4DDF">
        <w:rPr>
          <w:b/>
          <w:bCs/>
          <w:color w:val="77206D" w:themeColor="accent5" w:themeShade="BF"/>
        </w:rPr>
        <w:t xml:space="preserve">n </w:t>
      </w:r>
      <w:r w:rsidR="001540A7">
        <w:rPr>
          <w:b/>
          <w:bCs/>
          <w:color w:val="77206D" w:themeColor="accent5" w:themeShade="BF"/>
        </w:rPr>
        <w:t xml:space="preserve">online </w:t>
      </w:r>
      <w:r w:rsidR="00BF6DB6" w:rsidRPr="002A4DDF">
        <w:rPr>
          <w:b/>
          <w:bCs/>
          <w:color w:val="77206D" w:themeColor="accent5" w:themeShade="BF"/>
        </w:rPr>
        <w:t xml:space="preserve">overleaf </w:t>
      </w:r>
      <w:r w:rsidR="00061B2C">
        <w:rPr>
          <w:b/>
          <w:bCs/>
          <w:color w:val="77206D" w:themeColor="accent5" w:themeShade="BF"/>
        </w:rPr>
        <w:t>LaTeX</w:t>
      </w:r>
      <w:r w:rsidR="00BF6DB6" w:rsidRPr="002A4DDF">
        <w:rPr>
          <w:b/>
          <w:bCs/>
          <w:color w:val="77206D" w:themeColor="accent5" w:themeShade="BF"/>
        </w:rPr>
        <w:t xml:space="preserve"> template for typeset articles is also </w:t>
      </w:r>
      <w:r w:rsidR="00BF6DB6" w:rsidRPr="00D2230A">
        <w:rPr>
          <w:b/>
          <w:bCs/>
          <w:color w:val="77206D" w:themeColor="accent5" w:themeShade="BF"/>
        </w:rPr>
        <w:t xml:space="preserve">provided </w:t>
      </w:r>
      <w:hyperlink r:id="rId8" w:anchor="607337" w:history="1">
        <w:r w:rsidR="00BF6DB6" w:rsidRPr="00D2230A">
          <w:rPr>
            <w:rStyle w:val="Hyperlink"/>
            <w:b/>
            <w:bCs/>
          </w:rPr>
          <w:t>h</w:t>
        </w:r>
        <w:r w:rsidR="00BF6DB6" w:rsidRPr="00D2230A">
          <w:rPr>
            <w:rStyle w:val="Hyperlink"/>
            <w:b/>
            <w:bCs/>
          </w:rPr>
          <w:t>e</w:t>
        </w:r>
        <w:r w:rsidR="00BF6DB6" w:rsidRPr="00D2230A">
          <w:rPr>
            <w:rStyle w:val="Hyperlink"/>
            <w:b/>
            <w:bCs/>
          </w:rPr>
          <w:t>re</w:t>
        </w:r>
      </w:hyperlink>
      <w:r w:rsidR="00BF6DB6" w:rsidRPr="00D2230A">
        <w:rPr>
          <w:b/>
          <w:bCs/>
          <w:color w:val="77206D" w:themeColor="accent5" w:themeShade="BF"/>
        </w:rPr>
        <w:t>.</w:t>
      </w:r>
      <w:r w:rsidR="00BF6DB6">
        <w:t xml:space="preserve"> Authors may use this template to format their preprint submissions, or their post-peer review articles, though are not obligated to do so. </w:t>
      </w:r>
      <w:r w:rsidR="002D0EB5">
        <w:t>Author-led typesetting using this template means you are free to choose placement of figures and tables in the final article, however, if you are not comfortable with using this template a</w:t>
      </w:r>
      <w:r w:rsidR="00BF6DB6">
        <w:t xml:space="preserve">n </w:t>
      </w:r>
      <w:r w:rsidR="00BF6DB6">
        <w:rPr>
          <w:i/>
          <w:iCs/>
        </w:rPr>
        <w:t xml:space="preserve">Open Palaeontology </w:t>
      </w:r>
      <w:r w:rsidR="00BF6DB6">
        <w:t xml:space="preserve">Handling Editor will typeset your submission prior to </w:t>
      </w:r>
      <w:r w:rsidR="002D0EB5">
        <w:t>publication on the website.</w:t>
      </w:r>
    </w:p>
    <w:p w14:paraId="75DA9751" w14:textId="77777777" w:rsidR="00BF6DB6" w:rsidRDefault="00BF6DB6">
      <w:pPr>
        <w:rPr>
          <w:b/>
          <w:bCs/>
        </w:rPr>
      </w:pPr>
    </w:p>
    <w:p w14:paraId="04ED640A" w14:textId="3107F21A" w:rsidR="0049172D" w:rsidRPr="00D92FF1" w:rsidRDefault="00BF6DB6">
      <w:pPr>
        <w:rPr>
          <w:b/>
          <w:bCs/>
          <w:sz w:val="28"/>
          <w:szCs w:val="28"/>
        </w:rPr>
      </w:pPr>
      <w:r w:rsidRPr="00D92FF1">
        <w:rPr>
          <w:b/>
          <w:bCs/>
          <w:sz w:val="28"/>
          <w:szCs w:val="28"/>
        </w:rPr>
        <w:t xml:space="preserve">2 </w:t>
      </w:r>
      <w:r w:rsidR="0049172D" w:rsidRPr="00D92FF1">
        <w:rPr>
          <w:b/>
          <w:bCs/>
          <w:sz w:val="28"/>
          <w:szCs w:val="28"/>
        </w:rPr>
        <w:t>General style</w:t>
      </w:r>
    </w:p>
    <w:p w14:paraId="5893A42C" w14:textId="56AC67D0" w:rsidR="0049172D" w:rsidRDefault="00767807" w:rsidP="00767807">
      <w:pPr>
        <w:pStyle w:val="ListParagraph"/>
        <w:numPr>
          <w:ilvl w:val="0"/>
          <w:numId w:val="1"/>
        </w:numPr>
      </w:pPr>
      <w:r>
        <w:t>Manuscripts should be written in British English (-</w:t>
      </w:r>
      <w:proofErr w:type="spellStart"/>
      <w:r>
        <w:t>ise</w:t>
      </w:r>
      <w:proofErr w:type="spellEnd"/>
      <w:r>
        <w:t xml:space="preserve">, </w:t>
      </w:r>
      <w:proofErr w:type="spellStart"/>
      <w:r>
        <w:t>palaeo</w:t>
      </w:r>
      <w:proofErr w:type="spellEnd"/>
      <w:r>
        <w:t>-) or American English (-</w:t>
      </w:r>
      <w:proofErr w:type="spellStart"/>
      <w:r>
        <w:t>ize</w:t>
      </w:r>
      <w:proofErr w:type="spellEnd"/>
      <w:r>
        <w:t>, paleo</w:t>
      </w:r>
      <w:r w:rsidR="002A7D39">
        <w:t>-</w:t>
      </w:r>
      <w:r>
        <w:t xml:space="preserve">), </w:t>
      </w:r>
      <w:proofErr w:type="gramStart"/>
      <w:r>
        <w:t>as long as</w:t>
      </w:r>
      <w:proofErr w:type="gramEnd"/>
      <w:r>
        <w:t xml:space="preserve"> the language used is consistent.</w:t>
      </w:r>
    </w:p>
    <w:p w14:paraId="6D61E140" w14:textId="255B8E79" w:rsidR="00767807" w:rsidRDefault="00767807" w:rsidP="00767807">
      <w:pPr>
        <w:pStyle w:val="ListParagraph"/>
        <w:numPr>
          <w:ilvl w:val="0"/>
          <w:numId w:val="1"/>
        </w:numPr>
      </w:pPr>
      <w:r>
        <w:t xml:space="preserve">A maximum of three </w:t>
      </w:r>
      <w:r w:rsidR="00E1546E">
        <w:t>heading levels should be used.</w:t>
      </w:r>
    </w:p>
    <w:p w14:paraId="69E35942" w14:textId="29A864B3" w:rsidR="00E1546E" w:rsidRDefault="00E1546E" w:rsidP="00767807">
      <w:pPr>
        <w:pStyle w:val="ListParagraph"/>
        <w:numPr>
          <w:ilvl w:val="0"/>
          <w:numId w:val="1"/>
        </w:numPr>
      </w:pPr>
      <w:r>
        <w:t>Clear and accessible language should be used to ensure articles are understandable to those whose first language is not English.</w:t>
      </w:r>
    </w:p>
    <w:p w14:paraId="7B02862B" w14:textId="18954B2E" w:rsidR="00E1546E" w:rsidRDefault="00E1546E" w:rsidP="00767807">
      <w:pPr>
        <w:pStyle w:val="ListParagraph"/>
        <w:numPr>
          <w:ilvl w:val="0"/>
          <w:numId w:val="1"/>
        </w:numPr>
      </w:pPr>
      <w:r>
        <w:t>Abbreviations</w:t>
      </w:r>
      <w:r w:rsidR="00A1686C">
        <w:t xml:space="preserve">, </w:t>
      </w:r>
      <w:r>
        <w:t>acronyms</w:t>
      </w:r>
      <w:r w:rsidR="00A1686C">
        <w:t>, and technical terms</w:t>
      </w:r>
      <w:r>
        <w:t xml:space="preserve"> should be defined on first use.</w:t>
      </w:r>
      <w:r w:rsidR="00F22F89">
        <w:t xml:space="preserve"> If your manuscript contains many abbreviations and acronyms, we suggest including a separate ‘Abbreviations’ section to summarise these.</w:t>
      </w:r>
    </w:p>
    <w:p w14:paraId="6065125A" w14:textId="3CF3E79C" w:rsidR="00E1546E" w:rsidRDefault="00A1686C" w:rsidP="00767807">
      <w:pPr>
        <w:pStyle w:val="ListParagraph"/>
        <w:numPr>
          <w:ilvl w:val="0"/>
          <w:numId w:val="1"/>
        </w:numPr>
      </w:pPr>
      <w:r>
        <w:t>Footnotes are not allowed, except within tables</w:t>
      </w:r>
      <w:r w:rsidR="00573A04">
        <w:t xml:space="preserve"> where necessary</w:t>
      </w:r>
      <w:r>
        <w:t>.</w:t>
      </w:r>
    </w:p>
    <w:p w14:paraId="39952975" w14:textId="7530B475" w:rsidR="00554B2F" w:rsidRDefault="00554B2F" w:rsidP="00767807">
      <w:pPr>
        <w:pStyle w:val="ListParagraph"/>
        <w:numPr>
          <w:ilvl w:val="0"/>
          <w:numId w:val="1"/>
        </w:numPr>
      </w:pPr>
      <w:r>
        <w:t xml:space="preserve">Standard (SI) units should be used: </w:t>
      </w:r>
      <w:hyperlink r:id="rId9" w:history="1">
        <w:r w:rsidR="00FA4374" w:rsidRPr="002F7C86">
          <w:rPr>
            <w:rStyle w:val="Hyperlink"/>
          </w:rPr>
          <w:t>https://physics.nist.gov/cuu/pdf/sp811.pdf</w:t>
        </w:r>
      </w:hyperlink>
      <w:r w:rsidR="00FA4374">
        <w:t xml:space="preserve"> </w:t>
      </w:r>
    </w:p>
    <w:p w14:paraId="0B38F1AA" w14:textId="4580A601" w:rsidR="00187F9B" w:rsidRDefault="00187F9B" w:rsidP="00767807">
      <w:pPr>
        <w:pStyle w:val="ListParagraph"/>
        <w:numPr>
          <w:ilvl w:val="0"/>
          <w:numId w:val="1"/>
        </w:numPr>
      </w:pPr>
      <w:r>
        <w:t>Give</w:t>
      </w:r>
      <w:r w:rsidRPr="00187F9B">
        <w:t xml:space="preserve"> names of </w:t>
      </w:r>
      <w:r w:rsidR="00D81D87">
        <w:t xml:space="preserve">manufacturers </w:t>
      </w:r>
      <w:r>
        <w:t>of uncommon laboratory instruments</w:t>
      </w:r>
      <w:r w:rsidR="00D81D87">
        <w:t xml:space="preserve"> or software</w:t>
      </w:r>
      <w:r w:rsidRPr="00187F9B">
        <w:t>.</w:t>
      </w:r>
    </w:p>
    <w:p w14:paraId="13AAE342" w14:textId="37A30D97" w:rsidR="00A30857" w:rsidRDefault="00A30857" w:rsidP="00767807">
      <w:pPr>
        <w:pStyle w:val="ListParagraph"/>
        <w:numPr>
          <w:ilvl w:val="0"/>
          <w:numId w:val="1"/>
        </w:numPr>
      </w:pPr>
      <w:r>
        <w:t xml:space="preserve">Equations used should be </w:t>
      </w:r>
      <w:r w:rsidR="00D81D87">
        <w:t xml:space="preserve">in an </w:t>
      </w:r>
      <w:r>
        <w:t>editable</w:t>
      </w:r>
      <w:r w:rsidR="00D81D87">
        <w:t xml:space="preserve"> format</w:t>
      </w:r>
      <w:r>
        <w:t xml:space="preserve">, </w:t>
      </w:r>
      <w:r w:rsidR="00D81D87">
        <w:t xml:space="preserve">rather than </w:t>
      </w:r>
      <w:proofErr w:type="spellStart"/>
      <w:r w:rsidR="00D81D87">
        <w:t>uneditable</w:t>
      </w:r>
      <w:proofErr w:type="spellEnd"/>
      <w:r w:rsidR="00D81D87">
        <w:t xml:space="preserve"> </w:t>
      </w:r>
      <w:r>
        <w:t>images.</w:t>
      </w:r>
    </w:p>
    <w:p w14:paraId="587A36E9" w14:textId="242326FB" w:rsidR="00554B2F" w:rsidRDefault="00554B2F" w:rsidP="00767807">
      <w:pPr>
        <w:pStyle w:val="ListParagraph"/>
        <w:numPr>
          <w:ilvl w:val="0"/>
          <w:numId w:val="1"/>
        </w:numPr>
      </w:pPr>
      <w:r>
        <w:t xml:space="preserve">Geological timescale names should follow the International Committee on Stratigraphy standard, where possible: </w:t>
      </w:r>
      <w:hyperlink r:id="rId10" w:history="1">
        <w:r w:rsidR="00FA4374" w:rsidRPr="002F7C86">
          <w:rPr>
            <w:rStyle w:val="Hyperlink"/>
          </w:rPr>
          <w:t>https://stratigraphy.org/chart</w:t>
        </w:r>
      </w:hyperlink>
      <w:r w:rsidR="00FA4374">
        <w:t>.</w:t>
      </w:r>
      <w:r w:rsidR="00796407">
        <w:t xml:space="preserve"> Capitalisation should only be used for time periods where they are proper names in the ICS, for example ‘early Ordovician’ (not ‘Early) and ‘Lower Ordovician’ (not ‘lower’).</w:t>
      </w:r>
    </w:p>
    <w:p w14:paraId="23F14EEC" w14:textId="5A6F7799" w:rsidR="00443BA3" w:rsidRDefault="00443BA3" w:rsidP="00767807">
      <w:pPr>
        <w:pStyle w:val="ListParagraph"/>
        <w:numPr>
          <w:ilvl w:val="0"/>
          <w:numId w:val="1"/>
        </w:numPr>
      </w:pPr>
      <w:r>
        <w:t>The title and all headings should be in sentence case and concise. Ideally, titles present the main finding of the manuscript.</w:t>
      </w:r>
    </w:p>
    <w:p w14:paraId="25D0EEC6" w14:textId="4D4700C6" w:rsidR="00B714C9" w:rsidRPr="00767807" w:rsidRDefault="00B714C9" w:rsidP="00767807">
      <w:pPr>
        <w:pStyle w:val="ListParagraph"/>
        <w:numPr>
          <w:ilvl w:val="0"/>
          <w:numId w:val="1"/>
        </w:numPr>
      </w:pPr>
      <w:r>
        <w:t>For more manuscript structure details, see the submission template file</w:t>
      </w:r>
      <w:r w:rsidR="00402FD9">
        <w:t xml:space="preserve"> and instructions for authors.</w:t>
      </w:r>
    </w:p>
    <w:p w14:paraId="1142432B" w14:textId="77777777" w:rsidR="00767807" w:rsidRDefault="00767807">
      <w:pPr>
        <w:rPr>
          <w:b/>
          <w:bCs/>
        </w:rPr>
      </w:pPr>
    </w:p>
    <w:p w14:paraId="3D5B31CE" w14:textId="57D2C2AA" w:rsidR="0049172D" w:rsidRPr="00D92FF1" w:rsidRDefault="00BF6DB6">
      <w:pPr>
        <w:rPr>
          <w:b/>
          <w:bCs/>
          <w:sz w:val="28"/>
          <w:szCs w:val="28"/>
        </w:rPr>
      </w:pPr>
      <w:r w:rsidRPr="00D92FF1">
        <w:rPr>
          <w:b/>
          <w:bCs/>
          <w:sz w:val="28"/>
          <w:szCs w:val="28"/>
        </w:rPr>
        <w:t>3</w:t>
      </w:r>
      <w:r w:rsidR="0049172D" w:rsidRPr="00D92FF1">
        <w:rPr>
          <w:b/>
          <w:bCs/>
          <w:sz w:val="28"/>
          <w:szCs w:val="28"/>
        </w:rPr>
        <w:t xml:space="preserve"> Figures</w:t>
      </w:r>
    </w:p>
    <w:p w14:paraId="6BCA3494" w14:textId="2BFD725A" w:rsidR="0049172D" w:rsidRDefault="002B51ED" w:rsidP="005D4125">
      <w:pPr>
        <w:pStyle w:val="ListParagraph"/>
        <w:numPr>
          <w:ilvl w:val="0"/>
          <w:numId w:val="4"/>
        </w:numPr>
      </w:pPr>
      <w:r>
        <w:t>Figure dimensions: full-page width is 180 mm, single-column width is 80 mm, maximum height is 260 mm</w:t>
      </w:r>
      <w:r w:rsidR="0066158A">
        <w:t xml:space="preserve"> (see example below)</w:t>
      </w:r>
      <w:r>
        <w:t>.</w:t>
      </w:r>
      <w:r w:rsidR="00FB6836">
        <w:t xml:space="preserve"> You may include 2/3 width </w:t>
      </w:r>
      <w:r w:rsidR="00851C0C">
        <w:t>figures;</w:t>
      </w:r>
      <w:r w:rsidR="00FB6836">
        <w:t xml:space="preserve"> however, text will not be set alongside them.</w:t>
      </w:r>
    </w:p>
    <w:p w14:paraId="2B0499D6" w14:textId="5FE822C8" w:rsidR="00DE21C7" w:rsidRDefault="00DE21C7" w:rsidP="00DE21C7">
      <w:pPr>
        <w:pStyle w:val="ListParagraph"/>
        <w:numPr>
          <w:ilvl w:val="0"/>
          <w:numId w:val="4"/>
        </w:numPr>
      </w:pPr>
      <w:r>
        <w:lastRenderedPageBreak/>
        <w:t>For initial submissions (preprints, manuscripts under review) figures and tables can be either inserted at appropriate points throughout the manuscript with their captions, or in a list at the end of the manuscript file. For accepted post-peer review manuscripts figures and tables should be submitted as separate files, with captions listed at the end of the manuscript (unless author-typeset, in which you are free to choose the placement of figures and tables yourself).</w:t>
      </w:r>
    </w:p>
    <w:p w14:paraId="3E59D3CF" w14:textId="52CA0EA0" w:rsidR="002B51ED" w:rsidRDefault="00CF09E9" w:rsidP="005D4125">
      <w:pPr>
        <w:pStyle w:val="ListParagraph"/>
        <w:numPr>
          <w:ilvl w:val="0"/>
          <w:numId w:val="4"/>
        </w:numPr>
      </w:pPr>
      <w:r>
        <w:t>File formats: .tiff for vector graphics, .pdf or .eps for raster graphics.</w:t>
      </w:r>
    </w:p>
    <w:p w14:paraId="0D7ADEEF" w14:textId="0C6E5C92" w:rsidR="00CF09E9" w:rsidRDefault="00B111B8" w:rsidP="005D4125">
      <w:pPr>
        <w:pStyle w:val="ListParagraph"/>
        <w:numPr>
          <w:ilvl w:val="0"/>
          <w:numId w:val="4"/>
        </w:numPr>
      </w:pPr>
      <w:r>
        <w:t>Resolution should be a minimum of 300 dpi, ideally 600 dpi.</w:t>
      </w:r>
    </w:p>
    <w:p w14:paraId="1EA794F6" w14:textId="02F17FB3" w:rsidR="00563A58" w:rsidRDefault="00563A58" w:rsidP="00851C0C">
      <w:pPr>
        <w:ind w:left="360"/>
        <w:jc w:val="center"/>
      </w:pPr>
      <w:r>
        <w:rPr>
          <w:noProof/>
        </w:rPr>
        <w:drawing>
          <wp:inline distT="0" distB="0" distL="0" distR="0" wp14:anchorId="05BCA89C" wp14:editId="7AE62EFF">
            <wp:extent cx="3512744" cy="4561379"/>
            <wp:effectExtent l="0" t="0" r="0" b="0"/>
            <wp:docPr id="412824154"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24154" name="Picture 1" descr="A screenshot of a cell pho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6411" cy="4579126"/>
                    </a:xfrm>
                    <a:prstGeom prst="rect">
                      <a:avLst/>
                    </a:prstGeom>
                  </pic:spPr>
                </pic:pic>
              </a:graphicData>
            </a:graphic>
          </wp:inline>
        </w:drawing>
      </w:r>
    </w:p>
    <w:p w14:paraId="1A1F01D1" w14:textId="68A5D9EE" w:rsidR="00D92FF1" w:rsidRDefault="00D92FF1" w:rsidP="00D92FF1">
      <w:pPr>
        <w:ind w:left="360"/>
      </w:pPr>
      <w:r>
        <w:t>Figure 1: An example figure and caption, displaying the suitable figure sizes.</w:t>
      </w:r>
    </w:p>
    <w:p w14:paraId="1E93FBB6" w14:textId="77777777" w:rsidR="00D92FF1" w:rsidRDefault="00D92FF1" w:rsidP="00D92FF1">
      <w:pPr>
        <w:ind w:left="360"/>
      </w:pPr>
    </w:p>
    <w:p w14:paraId="7968978D" w14:textId="615F4359" w:rsidR="00B111B8" w:rsidRDefault="00D77B4C" w:rsidP="005D4125">
      <w:pPr>
        <w:pStyle w:val="ListParagraph"/>
        <w:numPr>
          <w:ilvl w:val="0"/>
          <w:numId w:val="4"/>
        </w:numPr>
      </w:pPr>
      <w:r>
        <w:t>All text within figures (panels, labels, etc.) should be sans serif and a minimum of 8 pt at their final dimensions.</w:t>
      </w:r>
      <w:r w:rsidR="00B90B8F">
        <w:t xml:space="preserve"> Line widths should be a minimum of 0.5 pt and symbols minimum of 6 pt at final size.</w:t>
      </w:r>
      <w:r w:rsidR="003E6A56">
        <w:t xml:space="preserve"> Fonts in figures should be sans serif.</w:t>
      </w:r>
    </w:p>
    <w:p w14:paraId="34F6E8F8" w14:textId="6823B6BE" w:rsidR="00784794" w:rsidRDefault="00784794" w:rsidP="00784794">
      <w:pPr>
        <w:pStyle w:val="ListParagraph"/>
        <w:numPr>
          <w:ilvl w:val="0"/>
          <w:numId w:val="4"/>
        </w:numPr>
      </w:pPr>
      <w:r>
        <w:t xml:space="preserve">Figures with multiple panels should label these using bold, ordered, capital letters in 10 pt, that is, </w:t>
      </w:r>
      <w:r w:rsidRPr="00715CDA">
        <w:rPr>
          <w:b/>
          <w:bCs/>
        </w:rPr>
        <w:t>A</w:t>
      </w:r>
      <w:r>
        <w:t xml:space="preserve">, </w:t>
      </w:r>
      <w:r w:rsidRPr="00715CDA">
        <w:rPr>
          <w:b/>
          <w:bCs/>
        </w:rPr>
        <w:t>B</w:t>
      </w:r>
      <w:r>
        <w:t xml:space="preserve">, </w:t>
      </w:r>
      <w:r w:rsidRPr="00715CDA">
        <w:rPr>
          <w:b/>
          <w:bCs/>
        </w:rPr>
        <w:t>C</w:t>
      </w:r>
      <w:r>
        <w:t>, etc. The panels must be defined in the figure caption.</w:t>
      </w:r>
    </w:p>
    <w:p w14:paraId="2224192F" w14:textId="1E9762AB" w:rsidR="00BC2273" w:rsidRDefault="00F02975" w:rsidP="00BC2273">
      <w:pPr>
        <w:pStyle w:val="ListParagraph"/>
        <w:numPr>
          <w:ilvl w:val="0"/>
          <w:numId w:val="4"/>
        </w:numPr>
      </w:pPr>
      <w:r>
        <w:t>All illustrations should be referred to in the text as ‘Figure #’ if in plain text and ‘(Fig. #)’ if within parentheses.</w:t>
      </w:r>
      <w:r w:rsidR="00671F1B">
        <w:t xml:space="preserve"> Figures should be referred to in chronological order in the manuscript.</w:t>
      </w:r>
      <w:r w:rsidR="00BC2273">
        <w:t xml:space="preserve"> Multiple figures should be referred to as ‘Figure</w:t>
      </w:r>
      <w:r w:rsidR="003B327A">
        <w:t>s</w:t>
      </w:r>
      <w:r w:rsidR="00BC2273">
        <w:t xml:space="preserve"> 1</w:t>
      </w:r>
      <w:r w:rsidR="00BC2273">
        <w:sym w:font="Symbol" w:char="F02D"/>
      </w:r>
      <w:r w:rsidR="00BC2273">
        <w:t xml:space="preserve">3’ (i.e., using an </w:t>
      </w:r>
      <w:proofErr w:type="spellStart"/>
      <w:r w:rsidR="00BC2273">
        <w:t>en</w:t>
      </w:r>
      <w:proofErr w:type="spellEnd"/>
      <w:r w:rsidR="00BC2273">
        <w:t>-dash)</w:t>
      </w:r>
      <w:r w:rsidR="00A56255">
        <w:t>, ‘(Figs 1</w:t>
      </w:r>
      <w:r w:rsidR="00A56255">
        <w:sym w:font="Symbol" w:char="F02D"/>
      </w:r>
      <w:r w:rsidR="00A56255">
        <w:t xml:space="preserve">3)’, ‘Figures 1 and 2’, or </w:t>
      </w:r>
      <w:r w:rsidR="003B327A">
        <w:t>‘</w:t>
      </w:r>
      <w:r w:rsidR="00A56255">
        <w:t>(Figs 1 and 2)</w:t>
      </w:r>
      <w:r w:rsidR="003B327A">
        <w:t>’</w:t>
      </w:r>
      <w:r w:rsidR="00BC2273">
        <w:t>.</w:t>
      </w:r>
    </w:p>
    <w:p w14:paraId="7FF32D9A" w14:textId="6F3AAEE0" w:rsidR="00F02975" w:rsidRDefault="00B80C91" w:rsidP="005D4125">
      <w:pPr>
        <w:pStyle w:val="ListParagraph"/>
        <w:numPr>
          <w:ilvl w:val="0"/>
          <w:numId w:val="4"/>
        </w:numPr>
      </w:pPr>
      <w:r>
        <w:t>Scale bars should be</w:t>
      </w:r>
      <w:r w:rsidR="006B3A89">
        <w:t xml:space="preserve"> included </w:t>
      </w:r>
      <w:r w:rsidR="00AE4B15">
        <w:t xml:space="preserve">in the figure </w:t>
      </w:r>
      <w:r w:rsidR="006B3A89">
        <w:t xml:space="preserve">without </w:t>
      </w:r>
      <w:r w:rsidR="003C0B07">
        <w:t>text and</w:t>
      </w:r>
      <w:r>
        <w:t xml:space="preserve"> defined in the figure caption.</w:t>
      </w:r>
    </w:p>
    <w:p w14:paraId="091011BD" w14:textId="0B48B9F7" w:rsidR="000E7090" w:rsidRDefault="000E7090" w:rsidP="005D4125">
      <w:pPr>
        <w:pStyle w:val="ListParagraph"/>
        <w:numPr>
          <w:ilvl w:val="0"/>
          <w:numId w:val="4"/>
        </w:numPr>
      </w:pPr>
      <w:r>
        <w:t xml:space="preserve">Figure captions should clearly explain all parts of the figure if there are multiple panels, contain definitions for all abbreviations, and descriptions of all statistical </w:t>
      </w:r>
      <w:r w:rsidR="00ED11AE">
        <w:t>conventions present in the figure (e.g., explanation of error bars).</w:t>
      </w:r>
    </w:p>
    <w:p w14:paraId="0EBF6637" w14:textId="484B0F46" w:rsidR="000E7090" w:rsidRDefault="000E7090" w:rsidP="005D4125">
      <w:pPr>
        <w:pStyle w:val="ListParagraph"/>
        <w:numPr>
          <w:ilvl w:val="0"/>
          <w:numId w:val="4"/>
        </w:numPr>
      </w:pPr>
      <w:r>
        <w:lastRenderedPageBreak/>
        <w:t>Plots should show all underlying data points where appropriate (</w:t>
      </w:r>
      <w:r w:rsidR="006C4637">
        <w:t xml:space="preserve">when using, </w:t>
      </w:r>
      <w:r>
        <w:t xml:space="preserve">e.g., </w:t>
      </w:r>
      <w:proofErr w:type="spellStart"/>
      <w:r>
        <w:t>morphospaces</w:t>
      </w:r>
      <w:proofErr w:type="spellEnd"/>
      <w:r>
        <w:t>, box plots, etc.).</w:t>
      </w:r>
      <w:r w:rsidR="006C4637">
        <w:t xml:space="preserve"> Error bars should be included in all appropriate plots, with the bars defined in the caption.</w:t>
      </w:r>
    </w:p>
    <w:p w14:paraId="7734C00F" w14:textId="33DB1D2A" w:rsidR="00C96969" w:rsidRDefault="00C96969" w:rsidP="005D4125">
      <w:pPr>
        <w:pStyle w:val="ListParagraph"/>
        <w:numPr>
          <w:ilvl w:val="0"/>
          <w:numId w:val="4"/>
        </w:numPr>
      </w:pPr>
      <w:r w:rsidRPr="003C6034">
        <w:rPr>
          <w:b/>
          <w:bCs/>
        </w:rPr>
        <w:t>Authors must ensure their figures are legible to everyone.</w:t>
      </w:r>
      <w:r>
        <w:t xml:space="preserve"> This requires using accessible colours, ensuring meaning </w:t>
      </w:r>
      <w:r w:rsidR="003C6034">
        <w:t xml:space="preserve">is </w:t>
      </w:r>
      <w:r>
        <w:t>conveyed not just by colour (i.e., plotting different samples using different symbols</w:t>
      </w:r>
      <w:r w:rsidR="00A10FCB">
        <w:t>/lines</w:t>
      </w:r>
      <w:r>
        <w:t xml:space="preserve"> as well as colours and including these in the legend, or by labelling lines directly), and using sufficient</w:t>
      </w:r>
      <w:r w:rsidR="00EE53C7">
        <w:t>ly thick</w:t>
      </w:r>
      <w:r>
        <w:t xml:space="preserve"> line weights.</w:t>
      </w:r>
      <w:r w:rsidR="003C6034">
        <w:t xml:space="preserve"> Many free tools exist for </w:t>
      </w:r>
      <w:r w:rsidR="00404E3A">
        <w:t xml:space="preserve">the </w:t>
      </w:r>
      <w:r w:rsidR="003C6034">
        <w:t xml:space="preserve">accessible colouring of figures, such as </w:t>
      </w:r>
      <w:proofErr w:type="spellStart"/>
      <w:r w:rsidR="003C6034">
        <w:t>ColorOracle</w:t>
      </w:r>
      <w:proofErr w:type="spellEnd"/>
      <w:r w:rsidR="003C6034">
        <w:t xml:space="preserve"> or </w:t>
      </w:r>
      <w:proofErr w:type="spellStart"/>
      <w:r w:rsidR="003C6034">
        <w:t>SimDaltonism</w:t>
      </w:r>
      <w:proofErr w:type="spellEnd"/>
      <w:r w:rsidR="002D7D36">
        <w:t xml:space="preserve"> (plus R packages like </w:t>
      </w:r>
      <w:proofErr w:type="spellStart"/>
      <w:r w:rsidR="002D7D36">
        <w:t>colorblindcheck</w:t>
      </w:r>
      <w:proofErr w:type="spellEnd"/>
      <w:r w:rsidR="002D7D36">
        <w:t xml:space="preserve"> and </w:t>
      </w:r>
      <w:proofErr w:type="spellStart"/>
      <w:r w:rsidR="002D7D36">
        <w:t>colorblindr</w:t>
      </w:r>
      <w:proofErr w:type="spellEnd"/>
      <w:r w:rsidR="002D7D36">
        <w:t>)</w:t>
      </w:r>
      <w:r w:rsidR="003C6034">
        <w:t xml:space="preserve"> to allo</w:t>
      </w:r>
      <w:r w:rsidR="001A5A24">
        <w:t>w visualisation under different colour-vision deficiencies, and various R packages (</w:t>
      </w:r>
      <w:r w:rsidR="0096688F">
        <w:t>e.g.,</w:t>
      </w:r>
      <w:r w:rsidR="001A5A24">
        <w:t xml:space="preserve"> </w:t>
      </w:r>
      <w:proofErr w:type="spellStart"/>
      <w:r w:rsidR="002D7D36">
        <w:t>colorbrewer</w:t>
      </w:r>
      <w:proofErr w:type="spellEnd"/>
      <w:r w:rsidR="002D7D36">
        <w:t xml:space="preserve">, </w:t>
      </w:r>
      <w:proofErr w:type="spellStart"/>
      <w:r w:rsidR="002D7D36">
        <w:t>viridis</w:t>
      </w:r>
      <w:proofErr w:type="spellEnd"/>
      <w:r w:rsidR="002D7D36">
        <w:t>, cols4all</w:t>
      </w:r>
      <w:r w:rsidR="001A5A24">
        <w:t>) that provide accessible palettes.</w:t>
      </w:r>
    </w:p>
    <w:p w14:paraId="54B5F298" w14:textId="785A0383" w:rsidR="00957CD3" w:rsidRDefault="00957CD3" w:rsidP="005D4125">
      <w:pPr>
        <w:pStyle w:val="ListParagraph"/>
        <w:numPr>
          <w:ilvl w:val="0"/>
          <w:numId w:val="4"/>
        </w:numPr>
      </w:pPr>
      <w:r>
        <w:t xml:space="preserve">For </w:t>
      </w:r>
      <w:r w:rsidR="001C795A">
        <w:t>accessibility</w:t>
      </w:r>
      <w:r>
        <w:t>, please also provide a short alt text sentence to accompany each image.</w:t>
      </w:r>
      <w:r w:rsidR="002D4155">
        <w:t xml:space="preserve"> This should follow the figure caption. If not provided, the first sentence of the figure caption will be used.</w:t>
      </w:r>
    </w:p>
    <w:p w14:paraId="26DA1729" w14:textId="40CEEBB2" w:rsidR="001C795A" w:rsidRDefault="001C795A" w:rsidP="005D4125">
      <w:pPr>
        <w:pStyle w:val="ListParagraph"/>
        <w:numPr>
          <w:ilvl w:val="0"/>
          <w:numId w:val="4"/>
        </w:numPr>
      </w:pPr>
      <w:r>
        <w:t xml:space="preserve">Avoid drawing contested borders or names on maps. If these are required for the map, use politically neutral labelling and legends, and use the </w:t>
      </w:r>
      <w:r w:rsidR="002A18B3">
        <w:t>United Nations</w:t>
      </w:r>
      <w:r>
        <w:t xml:space="preserve"> naming conventions for maps: </w:t>
      </w:r>
      <w:hyperlink r:id="rId12" w:history="1">
        <w:r w:rsidRPr="002F7C86">
          <w:rPr>
            <w:rStyle w:val="Hyperlink"/>
          </w:rPr>
          <w:t>https://www.un.org/geospatial/mapsgeo</w:t>
        </w:r>
      </w:hyperlink>
      <w:r>
        <w:t>.</w:t>
      </w:r>
    </w:p>
    <w:p w14:paraId="565D2176" w14:textId="00AAEAE4" w:rsidR="002621DF" w:rsidRDefault="002621DF" w:rsidP="005D4125">
      <w:pPr>
        <w:pStyle w:val="ListParagraph"/>
        <w:numPr>
          <w:ilvl w:val="0"/>
          <w:numId w:val="4"/>
        </w:numPr>
      </w:pPr>
      <w:r w:rsidRPr="002621DF">
        <w:t>Images obtained, reproduced, and/or adapted from elsewhere must be accompanied by permission from the copyright holder</w:t>
      </w:r>
      <w:r>
        <w:t xml:space="preserve"> (if permission for use is needed)</w:t>
      </w:r>
      <w:r w:rsidRPr="002621DF">
        <w:t>, and the credit line must be provided in the manuscript. If previously published data are used the source of the data must be credited in the manuscript.</w:t>
      </w:r>
    </w:p>
    <w:p w14:paraId="792C2660" w14:textId="1E9643D0" w:rsidR="007A22BD" w:rsidRPr="005D4125" w:rsidRDefault="007A22BD" w:rsidP="005D4125">
      <w:pPr>
        <w:pStyle w:val="ListParagraph"/>
        <w:numPr>
          <w:ilvl w:val="0"/>
          <w:numId w:val="4"/>
        </w:numPr>
      </w:pPr>
      <w:r>
        <w:t xml:space="preserve">We do not allow the use of generative AI figures, except where they are the subject of the research presented. Please see our </w:t>
      </w:r>
      <w:hyperlink r:id="rId13" w:history="1">
        <w:r w:rsidRPr="00F10179">
          <w:rPr>
            <w:rStyle w:val="Hyperlink"/>
          </w:rPr>
          <w:t>Code of Conduct</w:t>
        </w:r>
      </w:hyperlink>
      <w:r>
        <w:t xml:space="preserve"> for more information.</w:t>
      </w:r>
    </w:p>
    <w:p w14:paraId="7331FB2F" w14:textId="77777777" w:rsidR="005D4125" w:rsidRDefault="005D4125">
      <w:pPr>
        <w:rPr>
          <w:b/>
          <w:bCs/>
        </w:rPr>
      </w:pPr>
    </w:p>
    <w:p w14:paraId="61675B89" w14:textId="7566891F" w:rsidR="0049172D" w:rsidRPr="00D92FF1" w:rsidRDefault="00BF6DB6">
      <w:pPr>
        <w:rPr>
          <w:b/>
          <w:bCs/>
          <w:sz w:val="28"/>
          <w:szCs w:val="28"/>
        </w:rPr>
      </w:pPr>
      <w:r w:rsidRPr="00D92FF1">
        <w:rPr>
          <w:b/>
          <w:bCs/>
          <w:sz w:val="28"/>
          <w:szCs w:val="28"/>
        </w:rPr>
        <w:t>4</w:t>
      </w:r>
      <w:r w:rsidR="0049172D" w:rsidRPr="00D92FF1">
        <w:rPr>
          <w:b/>
          <w:bCs/>
          <w:sz w:val="28"/>
          <w:szCs w:val="28"/>
        </w:rPr>
        <w:t xml:space="preserve"> Tables</w:t>
      </w:r>
    </w:p>
    <w:p w14:paraId="03EC790A" w14:textId="7409322C" w:rsidR="0049172D" w:rsidRDefault="0096049C" w:rsidP="0096049C">
      <w:pPr>
        <w:pStyle w:val="ListParagraph"/>
        <w:numPr>
          <w:ilvl w:val="0"/>
          <w:numId w:val="5"/>
        </w:numPr>
      </w:pPr>
      <w:r>
        <w:t>Do not include any shading or colouring in tables unless this is necessary for meaning.</w:t>
      </w:r>
    </w:p>
    <w:p w14:paraId="4C0CF971" w14:textId="288023A6" w:rsidR="001E5297" w:rsidRDefault="001E5297" w:rsidP="0096049C">
      <w:pPr>
        <w:pStyle w:val="ListParagraph"/>
        <w:numPr>
          <w:ilvl w:val="0"/>
          <w:numId w:val="5"/>
        </w:numPr>
      </w:pPr>
      <w:r>
        <w:t>Figures in the table are given to the same number of significant figures (t</w:t>
      </w:r>
      <w:r>
        <w:t>hree in the example below</w:t>
      </w:r>
      <w:r>
        <w:t>).</w:t>
      </w:r>
    </w:p>
    <w:p w14:paraId="7957804C" w14:textId="3009F07C" w:rsidR="0096049C" w:rsidRDefault="001B28A7" w:rsidP="0096049C">
      <w:pPr>
        <w:pStyle w:val="ListParagraph"/>
        <w:numPr>
          <w:ilvl w:val="0"/>
          <w:numId w:val="5"/>
        </w:numPr>
      </w:pPr>
      <w:r>
        <w:t xml:space="preserve">Tables should be </w:t>
      </w:r>
      <w:r w:rsidR="0051525B">
        <w:t xml:space="preserve">editable (not images) and </w:t>
      </w:r>
      <w:r>
        <w:t xml:space="preserve">included within the manuscript file, or post-acceptance </w:t>
      </w:r>
      <w:r w:rsidR="00573A04">
        <w:t xml:space="preserve">can be included </w:t>
      </w:r>
      <w:r>
        <w:t>as a separate editable .doc file. Tables larger than one A4 page should be submitted as a separate supplementary information file</w:t>
      </w:r>
      <w:r w:rsidR="00573A04">
        <w:t xml:space="preserve"> in a .</w:t>
      </w:r>
      <w:proofErr w:type="spellStart"/>
      <w:r w:rsidR="00573A04">
        <w:t>xls</w:t>
      </w:r>
      <w:proofErr w:type="spellEnd"/>
      <w:r w:rsidR="00573A04">
        <w:t xml:space="preserve"> or .csv file.</w:t>
      </w:r>
    </w:p>
    <w:p w14:paraId="5ADF7941" w14:textId="79F56B72" w:rsidR="003B327A" w:rsidRDefault="003B327A" w:rsidP="005C2440">
      <w:pPr>
        <w:pStyle w:val="ListParagraph"/>
        <w:numPr>
          <w:ilvl w:val="0"/>
          <w:numId w:val="5"/>
        </w:numPr>
      </w:pPr>
      <w:r>
        <w:t>All tables should be referred to in the text as ‘Table #’ if in plain text and ‘(Table #)’ within parentheses. Tables should be referred to in chronological order in the manuscript. Multiple tables should be referred to as ‘Tables 1</w:t>
      </w:r>
      <w:r>
        <w:sym w:font="Symbol" w:char="F02D"/>
      </w:r>
      <w:r>
        <w:t xml:space="preserve">3’ </w:t>
      </w:r>
      <w:r w:rsidR="005C2440">
        <w:t>or ‘Tables 1 and 2’.</w:t>
      </w:r>
    </w:p>
    <w:p w14:paraId="5DB8C150" w14:textId="2864EF43" w:rsidR="00823CA6" w:rsidRPr="005C2440" w:rsidRDefault="00823CA6" w:rsidP="005C2440">
      <w:pPr>
        <w:pStyle w:val="ListParagraph"/>
        <w:numPr>
          <w:ilvl w:val="0"/>
          <w:numId w:val="5"/>
        </w:numPr>
      </w:pPr>
      <w:r>
        <w:t>The table number and caption for the table should be placed immediately above the table.</w:t>
      </w:r>
      <w:r w:rsidR="00F64DAD">
        <w:t xml:space="preserve"> An example of a table formatted in a .doc file is given below.</w:t>
      </w:r>
    </w:p>
    <w:p w14:paraId="4569F318" w14:textId="77777777" w:rsidR="009137E8" w:rsidRDefault="009137E8" w:rsidP="009137E8"/>
    <w:p w14:paraId="1AEC5A54" w14:textId="61987045" w:rsidR="00C326A8" w:rsidRPr="00C326A8" w:rsidRDefault="00C326A8" w:rsidP="009137E8">
      <w:r>
        <w:t xml:space="preserve">Table 1: An example of a table with the proper layout. </w:t>
      </w:r>
    </w:p>
    <w:tbl>
      <w:tblPr>
        <w:tblStyle w:val="TableGrid"/>
        <w:tblW w:w="0" w:type="auto"/>
        <w:tblLook w:val="04A0" w:firstRow="1" w:lastRow="0" w:firstColumn="1" w:lastColumn="0" w:noHBand="0" w:noVBand="1"/>
      </w:tblPr>
      <w:tblGrid>
        <w:gridCol w:w="2408"/>
        <w:gridCol w:w="2409"/>
        <w:gridCol w:w="2407"/>
        <w:gridCol w:w="2409"/>
      </w:tblGrid>
      <w:tr w:rsidR="009137E8" w14:paraId="1D6AFCDF" w14:textId="77777777" w:rsidTr="009137E8">
        <w:tc>
          <w:tcPr>
            <w:tcW w:w="2434" w:type="dxa"/>
            <w:tcBorders>
              <w:top w:val="nil"/>
              <w:left w:val="nil"/>
            </w:tcBorders>
          </w:tcPr>
          <w:p w14:paraId="6A48282C" w14:textId="77777777" w:rsidR="009137E8" w:rsidRPr="009137E8" w:rsidRDefault="009137E8" w:rsidP="009137E8"/>
        </w:tc>
        <w:tc>
          <w:tcPr>
            <w:tcW w:w="2434" w:type="dxa"/>
          </w:tcPr>
          <w:p w14:paraId="6D3A08A8" w14:textId="1A327C47" w:rsidR="009137E8" w:rsidRPr="0043582D" w:rsidRDefault="0043582D" w:rsidP="0043582D">
            <w:pPr>
              <w:jc w:val="center"/>
              <w:rPr>
                <w:b/>
                <w:bCs/>
              </w:rPr>
            </w:pPr>
            <w:r>
              <w:rPr>
                <w:b/>
                <w:bCs/>
              </w:rPr>
              <w:t>Header 1</w:t>
            </w:r>
          </w:p>
        </w:tc>
        <w:tc>
          <w:tcPr>
            <w:tcW w:w="2434" w:type="dxa"/>
          </w:tcPr>
          <w:p w14:paraId="666B0BB7" w14:textId="39DB1B19" w:rsidR="009137E8" w:rsidRPr="0043582D" w:rsidRDefault="0043582D" w:rsidP="0043582D">
            <w:pPr>
              <w:jc w:val="center"/>
              <w:rPr>
                <w:b/>
                <w:bCs/>
              </w:rPr>
            </w:pPr>
            <w:r>
              <w:rPr>
                <w:b/>
                <w:bCs/>
              </w:rPr>
              <w:t>Header 2</w:t>
            </w:r>
          </w:p>
        </w:tc>
        <w:tc>
          <w:tcPr>
            <w:tcW w:w="2434" w:type="dxa"/>
          </w:tcPr>
          <w:p w14:paraId="33AD60E5" w14:textId="7B9452D7" w:rsidR="009137E8" w:rsidRPr="0043582D" w:rsidRDefault="0043582D" w:rsidP="0043582D">
            <w:pPr>
              <w:jc w:val="center"/>
              <w:rPr>
                <w:b/>
                <w:bCs/>
              </w:rPr>
            </w:pPr>
            <w:r>
              <w:rPr>
                <w:b/>
                <w:bCs/>
              </w:rPr>
              <w:t>Header 3</w:t>
            </w:r>
          </w:p>
        </w:tc>
      </w:tr>
      <w:tr w:rsidR="009137E8" w14:paraId="498285F7" w14:textId="77777777" w:rsidTr="009137E8">
        <w:tc>
          <w:tcPr>
            <w:tcW w:w="2434" w:type="dxa"/>
          </w:tcPr>
          <w:p w14:paraId="2C73BC06" w14:textId="1B15082B" w:rsidR="009137E8" w:rsidRPr="008B114F" w:rsidRDefault="0043582D" w:rsidP="0043582D">
            <w:pPr>
              <w:jc w:val="center"/>
              <w:rPr>
                <w:b/>
                <w:bCs/>
              </w:rPr>
            </w:pPr>
            <w:r w:rsidRPr="008B114F">
              <w:rPr>
                <w:b/>
                <w:bCs/>
              </w:rPr>
              <w:t>Sample A</w:t>
            </w:r>
          </w:p>
        </w:tc>
        <w:tc>
          <w:tcPr>
            <w:tcW w:w="2434" w:type="dxa"/>
          </w:tcPr>
          <w:p w14:paraId="6F00F0D1" w14:textId="67BC5DE3" w:rsidR="009137E8" w:rsidRDefault="0043582D" w:rsidP="009137E8">
            <w:r>
              <w:t>an example</w:t>
            </w:r>
          </w:p>
        </w:tc>
        <w:tc>
          <w:tcPr>
            <w:tcW w:w="2434" w:type="dxa"/>
          </w:tcPr>
          <w:p w14:paraId="12237C70" w14:textId="43051357" w:rsidR="009137E8" w:rsidRDefault="0043582D" w:rsidP="0043582D">
            <w:pPr>
              <w:jc w:val="center"/>
            </w:pPr>
            <w:r>
              <w:t>0.0123</w:t>
            </w:r>
          </w:p>
        </w:tc>
        <w:tc>
          <w:tcPr>
            <w:tcW w:w="2434" w:type="dxa"/>
          </w:tcPr>
          <w:p w14:paraId="76698790" w14:textId="6E631FA8" w:rsidR="009137E8" w:rsidRDefault="0043582D" w:rsidP="009137E8">
            <w:r>
              <w:t>text is left-aligned</w:t>
            </w:r>
          </w:p>
        </w:tc>
      </w:tr>
      <w:tr w:rsidR="009137E8" w14:paraId="653121D9" w14:textId="77777777" w:rsidTr="009137E8">
        <w:tc>
          <w:tcPr>
            <w:tcW w:w="2434" w:type="dxa"/>
          </w:tcPr>
          <w:p w14:paraId="2F5A28E0" w14:textId="3D646288" w:rsidR="009137E8" w:rsidRPr="008B114F" w:rsidRDefault="0043582D" w:rsidP="0043582D">
            <w:pPr>
              <w:jc w:val="center"/>
              <w:rPr>
                <w:b/>
                <w:bCs/>
              </w:rPr>
            </w:pPr>
            <w:r w:rsidRPr="008B114F">
              <w:rPr>
                <w:b/>
                <w:bCs/>
              </w:rPr>
              <w:t>Sample B</w:t>
            </w:r>
          </w:p>
        </w:tc>
        <w:tc>
          <w:tcPr>
            <w:tcW w:w="2434" w:type="dxa"/>
          </w:tcPr>
          <w:p w14:paraId="30DEF28A" w14:textId="23FC3046" w:rsidR="009137E8" w:rsidRDefault="0043582D" w:rsidP="009137E8">
            <w:r>
              <w:t>of a table</w:t>
            </w:r>
          </w:p>
        </w:tc>
        <w:tc>
          <w:tcPr>
            <w:tcW w:w="2434" w:type="dxa"/>
          </w:tcPr>
          <w:p w14:paraId="740B77D0" w14:textId="4CCA585E" w:rsidR="009137E8" w:rsidRDefault="0043582D" w:rsidP="0043582D">
            <w:pPr>
              <w:jc w:val="center"/>
            </w:pPr>
            <w:r>
              <w:t>1.04</w:t>
            </w:r>
          </w:p>
        </w:tc>
        <w:tc>
          <w:tcPr>
            <w:tcW w:w="2434" w:type="dxa"/>
          </w:tcPr>
          <w:p w14:paraId="7700650A" w14:textId="3CF0DDF7" w:rsidR="009137E8" w:rsidRDefault="002065C3" w:rsidP="009137E8">
            <w:r>
              <w:t>numbers</w:t>
            </w:r>
            <w:r w:rsidR="0043582D">
              <w:t xml:space="preserve"> are centred</w:t>
            </w:r>
          </w:p>
        </w:tc>
      </w:tr>
    </w:tbl>
    <w:p w14:paraId="66FB6459" w14:textId="77777777" w:rsidR="0096049C" w:rsidRDefault="0096049C">
      <w:pPr>
        <w:rPr>
          <w:b/>
          <w:bCs/>
        </w:rPr>
      </w:pPr>
    </w:p>
    <w:p w14:paraId="4DA0A5C4" w14:textId="1B5C2FD7" w:rsidR="0058622F" w:rsidRPr="00D92FF1" w:rsidRDefault="0058622F" w:rsidP="0058622F">
      <w:pPr>
        <w:rPr>
          <w:b/>
          <w:bCs/>
          <w:sz w:val="28"/>
          <w:szCs w:val="28"/>
        </w:rPr>
      </w:pPr>
      <w:r w:rsidRPr="00D92FF1">
        <w:rPr>
          <w:b/>
          <w:bCs/>
          <w:sz w:val="28"/>
          <w:szCs w:val="28"/>
        </w:rPr>
        <w:t>5 Lists</w:t>
      </w:r>
    </w:p>
    <w:p w14:paraId="27041EE1" w14:textId="77777777" w:rsidR="0058622F" w:rsidRDefault="0058622F" w:rsidP="0058622F">
      <w:pPr>
        <w:pStyle w:val="ListParagraph"/>
        <w:numPr>
          <w:ilvl w:val="0"/>
          <w:numId w:val="8"/>
        </w:numPr>
      </w:pPr>
      <w:r>
        <w:t>For short lists, use an inline list organised like so: (1) organised; (2) like; (3) this.</w:t>
      </w:r>
    </w:p>
    <w:p w14:paraId="64216CF0" w14:textId="57DE12FD" w:rsidR="0058622F" w:rsidRDefault="0058622F" w:rsidP="0058622F">
      <w:pPr>
        <w:pStyle w:val="ListParagraph"/>
        <w:numPr>
          <w:ilvl w:val="0"/>
          <w:numId w:val="8"/>
        </w:numPr>
      </w:pPr>
      <w:r>
        <w:t>For long lists, use either regular bullet points or a numbered list, as below. Numbered lists imply a sequence</w:t>
      </w:r>
      <w:r w:rsidR="0061315F">
        <w:t xml:space="preserve"> or a finite </w:t>
      </w:r>
      <w:proofErr w:type="gramStart"/>
      <w:r w:rsidR="0061315F">
        <w:t>amount</w:t>
      </w:r>
      <w:proofErr w:type="gramEnd"/>
      <w:r w:rsidR="0061315F">
        <w:t xml:space="preserve"> of points</w:t>
      </w:r>
      <w:r>
        <w:t>.</w:t>
      </w:r>
    </w:p>
    <w:p w14:paraId="715D0CCD" w14:textId="41856509" w:rsidR="0058622F" w:rsidRDefault="0058622F" w:rsidP="0058622F">
      <w:pPr>
        <w:pStyle w:val="ListParagraph"/>
        <w:numPr>
          <w:ilvl w:val="0"/>
          <w:numId w:val="8"/>
        </w:numPr>
      </w:pPr>
      <w:r>
        <w:lastRenderedPageBreak/>
        <w:t>Each list item should have an initial capitalisation and a final full stop if the items represent full/multiple sentences. If not</w:t>
      </w:r>
      <w:r w:rsidR="005138A5">
        <w:t xml:space="preserve"> representing full sentences</w:t>
      </w:r>
      <w:r>
        <w:t>, there should be no initial capitalisation and only a full stop at the end of the last list item</w:t>
      </w:r>
      <w:r w:rsidR="005138A5">
        <w:t xml:space="preserve"> – see the examples below.</w:t>
      </w:r>
      <w:r>
        <w:br/>
      </w:r>
    </w:p>
    <w:p w14:paraId="19C0F79B" w14:textId="77777777" w:rsidR="0058622F" w:rsidRDefault="0058622F" w:rsidP="0058622F">
      <w:pPr>
        <w:pStyle w:val="ListParagraph"/>
        <w:numPr>
          <w:ilvl w:val="0"/>
          <w:numId w:val="8"/>
        </w:numPr>
        <w:sectPr w:rsidR="0058622F" w:rsidSect="00E84998">
          <w:footerReference w:type="even" r:id="rId14"/>
          <w:footerReference w:type="default" r:id="rId15"/>
          <w:headerReference w:type="first" r:id="rId16"/>
          <w:footerReference w:type="first" r:id="rId17"/>
          <w:type w:val="continuous"/>
          <w:pgSz w:w="11906" w:h="16838"/>
          <w:pgMar w:top="1134" w:right="1134" w:bottom="1134" w:left="1134" w:header="709" w:footer="709" w:gutter="0"/>
          <w:cols w:space="708"/>
          <w:titlePg/>
          <w:docGrid w:linePitch="360"/>
        </w:sectPr>
      </w:pPr>
    </w:p>
    <w:p w14:paraId="1AE7B4C7" w14:textId="0458F27B" w:rsidR="0058622F" w:rsidRDefault="0058622F" w:rsidP="0058622F">
      <w:pPr>
        <w:pStyle w:val="ListParagraph"/>
        <w:numPr>
          <w:ilvl w:val="0"/>
          <w:numId w:val="8"/>
        </w:numPr>
      </w:pPr>
      <w:r>
        <w:t xml:space="preserve"> </w:t>
      </w:r>
      <w:r w:rsidR="003822CE">
        <w:t>i</w:t>
      </w:r>
      <w:r w:rsidR="000105C3">
        <w:t>tem 1</w:t>
      </w:r>
    </w:p>
    <w:p w14:paraId="460EE400" w14:textId="2B5ADF06" w:rsidR="0058622F" w:rsidRDefault="0058622F" w:rsidP="0058622F">
      <w:pPr>
        <w:pStyle w:val="ListParagraph"/>
        <w:numPr>
          <w:ilvl w:val="0"/>
          <w:numId w:val="8"/>
        </w:numPr>
      </w:pPr>
      <w:r>
        <w:t xml:space="preserve"> </w:t>
      </w:r>
      <w:r w:rsidR="003822CE">
        <w:t>i</w:t>
      </w:r>
      <w:r w:rsidR="000105C3">
        <w:t>tem 2</w:t>
      </w:r>
    </w:p>
    <w:p w14:paraId="444DA632" w14:textId="36A98953" w:rsidR="0058622F" w:rsidRDefault="0058622F" w:rsidP="0058622F">
      <w:pPr>
        <w:pStyle w:val="ListParagraph"/>
        <w:numPr>
          <w:ilvl w:val="0"/>
          <w:numId w:val="8"/>
        </w:numPr>
      </w:pPr>
      <w:r>
        <w:t xml:space="preserve"> </w:t>
      </w:r>
      <w:r w:rsidR="003822CE">
        <w:t>i</w:t>
      </w:r>
      <w:r w:rsidR="000105C3">
        <w:t>tem 3.</w:t>
      </w:r>
    </w:p>
    <w:p w14:paraId="71EDAFF7" w14:textId="1FAFBD58" w:rsidR="0058622F" w:rsidRDefault="000105C3" w:rsidP="0058622F">
      <w:pPr>
        <w:pStyle w:val="ListParagraph"/>
        <w:numPr>
          <w:ilvl w:val="0"/>
          <w:numId w:val="9"/>
        </w:numPr>
      </w:pPr>
      <w:r>
        <w:t>This is the first item in the list.</w:t>
      </w:r>
    </w:p>
    <w:p w14:paraId="468494D6" w14:textId="243A515B" w:rsidR="0058622F" w:rsidRDefault="000105C3" w:rsidP="0058622F">
      <w:pPr>
        <w:pStyle w:val="ListParagraph"/>
        <w:numPr>
          <w:ilvl w:val="0"/>
          <w:numId w:val="9"/>
        </w:numPr>
      </w:pPr>
      <w:r>
        <w:t>This is the second item in the list.</w:t>
      </w:r>
    </w:p>
    <w:p w14:paraId="674EA431" w14:textId="04212466" w:rsidR="0058622F" w:rsidRPr="008F3884" w:rsidRDefault="000105C3" w:rsidP="0058622F">
      <w:pPr>
        <w:pStyle w:val="ListParagraph"/>
        <w:numPr>
          <w:ilvl w:val="0"/>
          <w:numId w:val="9"/>
        </w:numPr>
      </w:pPr>
      <w:r>
        <w:t>This is the third item in the list.</w:t>
      </w:r>
    </w:p>
    <w:p w14:paraId="4EFDCC75" w14:textId="77777777" w:rsidR="0058622F" w:rsidRDefault="0058622F" w:rsidP="0058622F">
      <w:pPr>
        <w:rPr>
          <w:b/>
          <w:bCs/>
        </w:rPr>
        <w:sectPr w:rsidR="0058622F" w:rsidSect="0058622F">
          <w:type w:val="continuous"/>
          <w:pgSz w:w="11906" w:h="16838"/>
          <w:pgMar w:top="1134" w:right="1134" w:bottom="1134" w:left="1134" w:header="709" w:footer="709" w:gutter="0"/>
          <w:cols w:num="2" w:space="708"/>
          <w:docGrid w:linePitch="360"/>
        </w:sectPr>
      </w:pPr>
    </w:p>
    <w:p w14:paraId="79998A7A" w14:textId="77777777" w:rsidR="0058622F" w:rsidRDefault="0058622F" w:rsidP="0058622F">
      <w:pPr>
        <w:rPr>
          <w:b/>
          <w:bCs/>
        </w:rPr>
      </w:pPr>
    </w:p>
    <w:p w14:paraId="126272B1" w14:textId="4172DFE7" w:rsidR="0058622F" w:rsidRPr="0004628E" w:rsidRDefault="0058622F" w:rsidP="0058622F">
      <w:pPr>
        <w:rPr>
          <w:b/>
          <w:bCs/>
          <w:sz w:val="28"/>
          <w:szCs w:val="28"/>
        </w:rPr>
      </w:pPr>
      <w:r w:rsidRPr="0004628E">
        <w:rPr>
          <w:b/>
          <w:bCs/>
          <w:sz w:val="28"/>
          <w:szCs w:val="28"/>
        </w:rPr>
        <w:t>6 Statistical reporting</w:t>
      </w:r>
    </w:p>
    <w:p w14:paraId="65D6BA41" w14:textId="77777777" w:rsidR="0058622F" w:rsidRDefault="0058622F" w:rsidP="0058622F">
      <w:pPr>
        <w:pStyle w:val="ListParagraph"/>
        <w:numPr>
          <w:ilvl w:val="0"/>
          <w:numId w:val="10"/>
        </w:numPr>
      </w:pPr>
      <w:r>
        <w:t>Results of all statistical tests, including the test value and p-value, should be either reported in the manuscript (where directly referred to in evidencing a point, or in a table) or in the supplementary information (if there are many tests to report).</w:t>
      </w:r>
    </w:p>
    <w:p w14:paraId="79B4342A" w14:textId="70E9A459" w:rsidR="0058622F" w:rsidRDefault="0058622F" w:rsidP="0058622F">
      <w:pPr>
        <w:pStyle w:val="ListParagraph"/>
        <w:numPr>
          <w:ilvl w:val="0"/>
          <w:numId w:val="10"/>
        </w:numPr>
      </w:pPr>
      <w:r>
        <w:t>Authors should pay attention to statistical corrections for multiple tests</w:t>
      </w:r>
      <w:r w:rsidR="000105C3">
        <w:t xml:space="preserve"> (e.g.</w:t>
      </w:r>
      <w:r w:rsidR="00E57A02">
        <w:t>,</w:t>
      </w:r>
      <w:r w:rsidR="000105C3">
        <w:t xml:space="preserve"> </w:t>
      </w:r>
      <w:r w:rsidR="009C26BC">
        <w:t>Bonferroni</w:t>
      </w:r>
      <w:r w:rsidR="000105C3">
        <w:t xml:space="preserve"> correction)</w:t>
      </w:r>
      <w:r>
        <w:t>, and the meaning behind test results (i.e., their magnitude rather than just the p-value).</w:t>
      </w:r>
    </w:p>
    <w:p w14:paraId="11422652" w14:textId="77777777" w:rsidR="0058622F" w:rsidRDefault="0058622F" w:rsidP="0058622F">
      <w:pPr>
        <w:pStyle w:val="ListParagraph"/>
        <w:numPr>
          <w:ilvl w:val="0"/>
          <w:numId w:val="10"/>
        </w:numPr>
      </w:pPr>
      <w:r>
        <w:t xml:space="preserve">Statistical analyses should be fully explained in the article methods section. This includes </w:t>
      </w:r>
      <w:r w:rsidRPr="005921F7">
        <w:rPr>
          <w:b/>
          <w:bCs/>
        </w:rPr>
        <w:t>what analyses were performed, why, and what they show</w:t>
      </w:r>
      <w:r>
        <w:t>. How these analyses were performed should also be explained, such as the code packages used with their versions given and fully cited.</w:t>
      </w:r>
    </w:p>
    <w:p w14:paraId="31C4E365" w14:textId="77777777" w:rsidR="0058622F" w:rsidRDefault="0058622F" w:rsidP="0058622F">
      <w:pPr>
        <w:pStyle w:val="ListParagraph"/>
        <w:numPr>
          <w:ilvl w:val="0"/>
          <w:numId w:val="10"/>
        </w:numPr>
      </w:pPr>
      <w:r>
        <w:t xml:space="preserve">For equations or manuscript text variables should be written in italic serif font, for example </w:t>
      </w:r>
      <w:r w:rsidRPr="00FC5395">
        <w:rPr>
          <w:i/>
          <w:iCs/>
        </w:rPr>
        <w:t>‘</w:t>
      </w:r>
      <w:r w:rsidRPr="00FC5395">
        <w:rPr>
          <w:rFonts w:ascii="Times New Roman" w:hAnsi="Times New Roman" w:cs="Times New Roman"/>
          <w:i/>
          <w:iCs/>
        </w:rPr>
        <w:t>p</w:t>
      </w:r>
      <w:r>
        <w:rPr>
          <w:i/>
          <w:iCs/>
        </w:rPr>
        <w:t xml:space="preserve"> </w:t>
      </w:r>
      <w:r>
        <w:t>value’ or ‘</w:t>
      </w:r>
      <w:r w:rsidRPr="00FC5395">
        <w:rPr>
          <w:rFonts w:ascii="Times New Roman" w:hAnsi="Times New Roman" w:cs="Times New Roman"/>
          <w:i/>
          <w:iCs/>
        </w:rPr>
        <w:t>V</w:t>
      </w:r>
      <w:r>
        <w:t>’.</w:t>
      </w:r>
    </w:p>
    <w:p w14:paraId="1A816F2B" w14:textId="77777777" w:rsidR="0058622F" w:rsidRDefault="0058622F">
      <w:pPr>
        <w:rPr>
          <w:b/>
          <w:bCs/>
        </w:rPr>
      </w:pPr>
    </w:p>
    <w:p w14:paraId="7A4A5D2C" w14:textId="792A1C56" w:rsidR="0049172D" w:rsidRPr="0004628E" w:rsidRDefault="0058622F">
      <w:pPr>
        <w:rPr>
          <w:b/>
          <w:bCs/>
          <w:sz w:val="28"/>
          <w:szCs w:val="28"/>
        </w:rPr>
      </w:pPr>
      <w:r w:rsidRPr="0004628E">
        <w:rPr>
          <w:b/>
          <w:bCs/>
          <w:sz w:val="28"/>
          <w:szCs w:val="28"/>
        </w:rPr>
        <w:t>7</w:t>
      </w:r>
      <w:r w:rsidR="0049172D" w:rsidRPr="0004628E">
        <w:rPr>
          <w:b/>
          <w:bCs/>
          <w:sz w:val="28"/>
          <w:szCs w:val="28"/>
        </w:rPr>
        <w:t xml:space="preserve"> Specimen </w:t>
      </w:r>
      <w:r w:rsidR="003B1A6B" w:rsidRPr="0004628E">
        <w:rPr>
          <w:b/>
          <w:bCs/>
          <w:sz w:val="28"/>
          <w:szCs w:val="28"/>
        </w:rPr>
        <w:t xml:space="preserve">and data </w:t>
      </w:r>
      <w:r w:rsidR="0049172D" w:rsidRPr="0004628E">
        <w:rPr>
          <w:b/>
          <w:bCs/>
          <w:sz w:val="28"/>
          <w:szCs w:val="28"/>
        </w:rPr>
        <w:t>access</w:t>
      </w:r>
    </w:p>
    <w:p w14:paraId="67953204" w14:textId="192CC967" w:rsidR="0049172D" w:rsidRDefault="006800B7" w:rsidP="006800B7">
      <w:pPr>
        <w:pStyle w:val="ListParagraph"/>
        <w:numPr>
          <w:ilvl w:val="0"/>
          <w:numId w:val="6"/>
        </w:numPr>
      </w:pPr>
      <w:r>
        <w:t xml:space="preserve">All specimens must be deposited in a recognised museum or accessible collection to be included in the study. </w:t>
      </w:r>
      <w:r w:rsidRPr="006A0770">
        <w:rPr>
          <w:b/>
          <w:bCs/>
        </w:rPr>
        <w:t>The accession numbers for all specimens must be provided in the text or supplementary information at initial submission</w:t>
      </w:r>
      <w:r w:rsidR="00B61638">
        <w:t xml:space="preserve">. </w:t>
      </w:r>
      <w:r w:rsidR="000C7A43">
        <w:t>Specimens in private collections or otherwise not available for study by all cannot be included.</w:t>
      </w:r>
    </w:p>
    <w:p w14:paraId="336CBAE6" w14:textId="1388871E" w:rsidR="00DB3393" w:rsidRDefault="00DB3393" w:rsidP="006800B7">
      <w:pPr>
        <w:pStyle w:val="ListParagraph"/>
        <w:numPr>
          <w:ilvl w:val="0"/>
          <w:numId w:val="6"/>
        </w:numPr>
      </w:pPr>
      <w:r>
        <w:rPr>
          <w:i/>
          <w:iCs/>
        </w:rPr>
        <w:t xml:space="preserve">Open Palaeontology </w:t>
      </w:r>
      <w:r>
        <w:t xml:space="preserve">takes a strong stance on the ethics of specimen access. For example, if export permits are required for certain material then these must be provided at manuscript submission – see the </w:t>
      </w:r>
      <w:hyperlink r:id="rId18" w:history="1">
        <w:r w:rsidRPr="00B61638">
          <w:rPr>
            <w:rStyle w:val="Hyperlink"/>
          </w:rPr>
          <w:t>Code of Conduct</w:t>
        </w:r>
      </w:hyperlink>
      <w:r>
        <w:t xml:space="preserve"> for full details on specimen ethics.</w:t>
      </w:r>
    </w:p>
    <w:p w14:paraId="03FB05E3" w14:textId="0FAECFEE" w:rsidR="00F04AF4" w:rsidRDefault="000105C3" w:rsidP="006800B7">
      <w:pPr>
        <w:pStyle w:val="ListParagraph"/>
        <w:numPr>
          <w:ilvl w:val="0"/>
          <w:numId w:val="6"/>
        </w:numPr>
      </w:pPr>
      <w:r>
        <w:t>Detailed</w:t>
      </w:r>
      <w:r w:rsidR="00F04AF4">
        <w:t xml:space="preserve"> information on the provenance of specimens should be included within the manuscript and/or the supplementary information, </w:t>
      </w:r>
      <w:proofErr w:type="gramStart"/>
      <w:r w:rsidR="00F04AF4">
        <w:t>whether or not</w:t>
      </w:r>
      <w:proofErr w:type="gramEnd"/>
      <w:r w:rsidR="00F04AF4">
        <w:t xml:space="preserve"> the country of origin has laws covering extraction of palaeontological material.</w:t>
      </w:r>
    </w:p>
    <w:p w14:paraId="78E05984" w14:textId="77777777" w:rsidR="006800B7" w:rsidRDefault="006800B7">
      <w:pPr>
        <w:rPr>
          <w:b/>
          <w:bCs/>
        </w:rPr>
      </w:pPr>
    </w:p>
    <w:p w14:paraId="3765A90C" w14:textId="661BEF5E" w:rsidR="0049172D" w:rsidRPr="0004628E" w:rsidRDefault="0058622F">
      <w:pPr>
        <w:rPr>
          <w:b/>
          <w:bCs/>
          <w:sz w:val="28"/>
          <w:szCs w:val="28"/>
        </w:rPr>
      </w:pPr>
      <w:r w:rsidRPr="0004628E">
        <w:rPr>
          <w:b/>
          <w:bCs/>
          <w:sz w:val="28"/>
          <w:szCs w:val="28"/>
        </w:rPr>
        <w:t>8</w:t>
      </w:r>
      <w:r w:rsidR="0049172D" w:rsidRPr="0004628E">
        <w:rPr>
          <w:b/>
          <w:bCs/>
          <w:sz w:val="28"/>
          <w:szCs w:val="28"/>
        </w:rPr>
        <w:t xml:space="preserve"> New taxa</w:t>
      </w:r>
    </w:p>
    <w:p w14:paraId="26097E36" w14:textId="7598E8EA" w:rsidR="00626BC2" w:rsidRDefault="00F04AF4" w:rsidP="00F04AF4">
      <w:pPr>
        <w:pStyle w:val="ListParagraph"/>
        <w:numPr>
          <w:ilvl w:val="0"/>
          <w:numId w:val="7"/>
        </w:numPr>
      </w:pPr>
      <w:r>
        <w:rPr>
          <w:i/>
          <w:iCs/>
        </w:rPr>
        <w:t xml:space="preserve">Open Palaeontology </w:t>
      </w:r>
      <w:r>
        <w:t xml:space="preserve">accepts the publishing of new taxa. </w:t>
      </w:r>
      <w:r w:rsidRPr="00980C5B">
        <w:rPr>
          <w:b/>
          <w:bCs/>
        </w:rPr>
        <w:t xml:space="preserve">All new </w:t>
      </w:r>
      <w:r w:rsidR="008515E6" w:rsidRPr="00980C5B">
        <w:rPr>
          <w:b/>
          <w:bCs/>
        </w:rPr>
        <w:t>zoological (including extinct)</w:t>
      </w:r>
      <w:r w:rsidRPr="00980C5B">
        <w:rPr>
          <w:b/>
          <w:bCs/>
        </w:rPr>
        <w:t xml:space="preserve"> taxa </w:t>
      </w:r>
      <w:r w:rsidR="000241D9" w:rsidRPr="00980C5B">
        <w:rPr>
          <w:b/>
          <w:bCs/>
        </w:rPr>
        <w:t xml:space="preserve">must </w:t>
      </w:r>
      <w:r w:rsidRPr="00980C5B">
        <w:rPr>
          <w:b/>
          <w:bCs/>
        </w:rPr>
        <w:t xml:space="preserve">be registered on </w:t>
      </w:r>
      <w:hyperlink r:id="rId19" w:history="1">
        <w:proofErr w:type="spellStart"/>
        <w:r w:rsidRPr="00980C5B">
          <w:rPr>
            <w:rStyle w:val="Hyperlink"/>
            <w:b/>
            <w:bCs/>
          </w:rPr>
          <w:t>ZooBank</w:t>
        </w:r>
        <w:proofErr w:type="spellEnd"/>
      </w:hyperlink>
      <w:r w:rsidR="008515E6" w:rsidRPr="00E22588">
        <w:rPr>
          <w:b/>
          <w:bCs/>
        </w:rPr>
        <w:t xml:space="preserve"> at the point of acceptance</w:t>
      </w:r>
      <w:r w:rsidR="00F47282" w:rsidRPr="00E22588">
        <w:rPr>
          <w:b/>
          <w:bCs/>
        </w:rPr>
        <w:t>.</w:t>
      </w:r>
      <w:r w:rsidR="00346DE4" w:rsidRPr="00E22588">
        <w:rPr>
          <w:b/>
          <w:bCs/>
        </w:rPr>
        <w:t xml:space="preserve"> </w:t>
      </w:r>
      <w:r w:rsidR="00346DE4">
        <w:t xml:space="preserve">Following this, each new </w:t>
      </w:r>
      <w:proofErr w:type="spellStart"/>
      <w:r w:rsidR="00346DE4">
        <w:t>taxon</w:t>
      </w:r>
      <w:proofErr w:type="spellEnd"/>
      <w:r w:rsidR="00346DE4">
        <w:t xml:space="preserve"> LSID should be inserted within the manuscript after the heading for that taxon in the section on systematic palaeontology. Manuscripts will not be published as typeset versions without these LSIDs being added.</w:t>
      </w:r>
      <w:r w:rsidR="001F43F8">
        <w:t xml:space="preserve"> If you are unsure </w:t>
      </w:r>
      <w:r w:rsidR="0081280B">
        <w:t>whether</w:t>
      </w:r>
      <w:r w:rsidR="001F43F8">
        <w:t xml:space="preserve"> your new taxa </w:t>
      </w:r>
      <w:r w:rsidR="0081280B">
        <w:t>are appropriate for</w:t>
      </w:r>
      <w:r w:rsidR="001F43F8">
        <w:t xml:space="preserve"> </w:t>
      </w:r>
      <w:proofErr w:type="spellStart"/>
      <w:r w:rsidR="001F43F8">
        <w:t>ZooBank</w:t>
      </w:r>
      <w:proofErr w:type="spellEnd"/>
      <w:r w:rsidR="0081280B">
        <w:t xml:space="preserve"> registration</w:t>
      </w:r>
      <w:r w:rsidR="001F43F8">
        <w:t xml:space="preserve"> it is better to create a new entry than not.</w:t>
      </w:r>
      <w:r w:rsidR="004550D5">
        <w:t xml:space="preserve"> </w:t>
      </w:r>
      <w:proofErr w:type="spellStart"/>
      <w:r w:rsidR="004550D5">
        <w:t>Acritarch</w:t>
      </w:r>
      <w:r w:rsidR="006C09D7">
        <w:t>s</w:t>
      </w:r>
      <w:proofErr w:type="spellEnd"/>
      <w:r w:rsidR="006C09D7">
        <w:t xml:space="preserve"> and fossil plants </w:t>
      </w:r>
      <w:r w:rsidR="004550D5">
        <w:t xml:space="preserve">should be registered on the </w:t>
      </w:r>
      <w:hyperlink r:id="rId20" w:history="1">
        <w:r w:rsidR="004550D5" w:rsidRPr="004550D5">
          <w:rPr>
            <w:rStyle w:val="Hyperlink"/>
          </w:rPr>
          <w:t>PF</w:t>
        </w:r>
        <w:r w:rsidR="004550D5" w:rsidRPr="004550D5">
          <w:rPr>
            <w:rStyle w:val="Hyperlink"/>
          </w:rPr>
          <w:t>N</w:t>
        </w:r>
        <w:r w:rsidR="004550D5" w:rsidRPr="004550D5">
          <w:rPr>
            <w:rStyle w:val="Hyperlink"/>
          </w:rPr>
          <w:t>R</w:t>
        </w:r>
      </w:hyperlink>
      <w:r w:rsidR="004550D5">
        <w:t>.</w:t>
      </w:r>
      <w:r w:rsidR="002801AB">
        <w:t xml:space="preserve"> Diatoms should be registered on </w:t>
      </w:r>
      <w:hyperlink r:id="rId21" w:history="1">
        <w:proofErr w:type="spellStart"/>
        <w:r w:rsidR="002801AB" w:rsidRPr="002801AB">
          <w:rPr>
            <w:rStyle w:val="Hyperlink"/>
          </w:rPr>
          <w:t>DiatomBase</w:t>
        </w:r>
        <w:proofErr w:type="spellEnd"/>
      </w:hyperlink>
      <w:r w:rsidR="002801AB">
        <w:t>.</w:t>
      </w:r>
      <w:r w:rsidR="000241D9">
        <w:t xml:space="preserve"> </w:t>
      </w:r>
    </w:p>
    <w:p w14:paraId="73010055" w14:textId="550CEB8B" w:rsidR="0049172D" w:rsidRDefault="000241D9" w:rsidP="00F04AF4">
      <w:pPr>
        <w:pStyle w:val="ListParagraph"/>
        <w:numPr>
          <w:ilvl w:val="0"/>
          <w:numId w:val="7"/>
        </w:numPr>
      </w:pPr>
      <w:r w:rsidRPr="001E4686">
        <w:rPr>
          <w:b/>
          <w:bCs/>
        </w:rPr>
        <w:t>Please do not include new taxon names in preprints</w:t>
      </w:r>
      <w:r w:rsidR="00626BC2">
        <w:t xml:space="preserve"> as this can lead to</w:t>
      </w:r>
      <w:r>
        <w:t xml:space="preserve"> </w:t>
      </w:r>
      <w:r w:rsidR="00626BC2">
        <w:t>confusion if the taxonomy is altered during review. I</w:t>
      </w:r>
      <w:r>
        <w:t xml:space="preserve">nstead substitute the new </w:t>
      </w:r>
      <w:proofErr w:type="spellStart"/>
      <w:r>
        <w:t>taxon</w:t>
      </w:r>
      <w:proofErr w:type="spellEnd"/>
      <w:r>
        <w:t xml:space="preserve"> name </w:t>
      </w:r>
      <w:r w:rsidR="00626BC2">
        <w:t xml:space="preserve">with a </w:t>
      </w:r>
      <w:r w:rsidR="00626BC2">
        <w:lastRenderedPageBreak/>
        <w:t>consistent, readily understandable replacement,</w:t>
      </w:r>
      <w:r w:rsidR="00711E83">
        <w:t xml:space="preserve"> for example,</w:t>
      </w:r>
      <w:r w:rsidR="00626BC2">
        <w:t xml:space="preserve"> </w:t>
      </w:r>
      <w:r w:rsidR="00626BC2" w:rsidRPr="00130D3C">
        <w:rPr>
          <w:i/>
          <w:iCs/>
        </w:rPr>
        <w:t xml:space="preserve">Anomalocaris </w:t>
      </w:r>
      <w:proofErr w:type="spellStart"/>
      <w:r w:rsidR="00626BC2" w:rsidRPr="00527E4D">
        <w:rPr>
          <w:i/>
          <w:iCs/>
        </w:rPr>
        <w:t>openpalaeoi</w:t>
      </w:r>
      <w:proofErr w:type="spellEnd"/>
      <w:r w:rsidR="00626BC2">
        <w:rPr>
          <w:i/>
          <w:iCs/>
        </w:rPr>
        <w:t xml:space="preserve"> </w:t>
      </w:r>
      <w:r w:rsidR="00626BC2">
        <w:t xml:space="preserve">n. sp. would be preprinted as </w:t>
      </w:r>
      <w:r w:rsidR="00626BC2">
        <w:rPr>
          <w:i/>
          <w:iCs/>
        </w:rPr>
        <w:t xml:space="preserve">Anomalocaris </w:t>
      </w:r>
      <w:r w:rsidR="00626BC2">
        <w:t>&lt;</w:t>
      </w:r>
      <w:proofErr w:type="spellStart"/>
      <w:r w:rsidR="00626BC2">
        <w:t>newspecies</w:t>
      </w:r>
      <w:proofErr w:type="spellEnd"/>
      <w:r w:rsidR="00626BC2">
        <w:t>&gt; n. sp.</w:t>
      </w:r>
    </w:p>
    <w:p w14:paraId="3C6642FC" w14:textId="6450838C" w:rsidR="008937C2" w:rsidRPr="00906663" w:rsidRDefault="008937C2" w:rsidP="00F04AF4">
      <w:pPr>
        <w:pStyle w:val="ListParagraph"/>
        <w:numPr>
          <w:ilvl w:val="0"/>
          <w:numId w:val="7"/>
        </w:numPr>
        <w:rPr>
          <w:b/>
          <w:bCs/>
        </w:rPr>
      </w:pPr>
      <w:r w:rsidRPr="00906663">
        <w:rPr>
          <w:b/>
          <w:bCs/>
        </w:rPr>
        <w:t xml:space="preserve">After publication, you </w:t>
      </w:r>
      <w:r w:rsidR="00C855C2">
        <w:rPr>
          <w:b/>
          <w:bCs/>
        </w:rPr>
        <w:t>must</w:t>
      </w:r>
      <w:r w:rsidRPr="00906663">
        <w:rPr>
          <w:b/>
          <w:bCs/>
        </w:rPr>
        <w:t xml:space="preserve"> update the </w:t>
      </w:r>
      <w:proofErr w:type="spellStart"/>
      <w:r w:rsidRPr="00906663">
        <w:rPr>
          <w:b/>
          <w:bCs/>
        </w:rPr>
        <w:t>ZooBank</w:t>
      </w:r>
      <w:proofErr w:type="spellEnd"/>
      <w:r w:rsidRPr="00906663">
        <w:rPr>
          <w:b/>
          <w:bCs/>
        </w:rPr>
        <w:t xml:space="preserve"> entry of the new </w:t>
      </w:r>
      <w:proofErr w:type="spellStart"/>
      <w:r w:rsidRPr="00906663">
        <w:rPr>
          <w:b/>
          <w:bCs/>
        </w:rPr>
        <w:t>taxon</w:t>
      </w:r>
      <w:proofErr w:type="spellEnd"/>
      <w:r w:rsidRPr="00906663">
        <w:rPr>
          <w:b/>
          <w:bCs/>
        </w:rPr>
        <w:t xml:space="preserve"> with the publication </w:t>
      </w:r>
      <w:proofErr w:type="gramStart"/>
      <w:r w:rsidRPr="00906663">
        <w:rPr>
          <w:b/>
          <w:bCs/>
        </w:rPr>
        <w:t>DOI</w:t>
      </w:r>
      <w:r w:rsidR="008B4DA1">
        <w:rPr>
          <w:b/>
          <w:bCs/>
        </w:rPr>
        <w:t>, and</w:t>
      </w:r>
      <w:proofErr w:type="gramEnd"/>
      <w:r w:rsidR="008B4DA1">
        <w:rPr>
          <w:b/>
          <w:bCs/>
        </w:rPr>
        <w:t xml:space="preserve"> release the entry.</w:t>
      </w:r>
    </w:p>
    <w:p w14:paraId="251AD1A9" w14:textId="058EBC9C" w:rsidR="002F3109" w:rsidRDefault="002F3109" w:rsidP="00F04AF4">
      <w:pPr>
        <w:pStyle w:val="ListParagraph"/>
        <w:numPr>
          <w:ilvl w:val="0"/>
          <w:numId w:val="7"/>
        </w:numPr>
      </w:pPr>
      <w:r>
        <w:t xml:space="preserve">All new </w:t>
      </w:r>
      <w:proofErr w:type="spellStart"/>
      <w:r>
        <w:t>taxon</w:t>
      </w:r>
      <w:proofErr w:type="spellEnd"/>
      <w:r>
        <w:t xml:space="preserve"> descriptions must follow the</w:t>
      </w:r>
      <w:r w:rsidR="0076073A">
        <w:t xml:space="preserve"> relevant</w:t>
      </w:r>
      <w:r>
        <w:t xml:space="preserve"> </w:t>
      </w:r>
      <w:r w:rsidR="00D96E24">
        <w:t xml:space="preserve">international </w:t>
      </w:r>
      <w:r w:rsidR="0076073A">
        <w:t>c</w:t>
      </w:r>
      <w:r>
        <w:t>ode</w:t>
      </w:r>
      <w:r w:rsidR="00E35284">
        <w:t xml:space="preserve"> or guidance</w:t>
      </w:r>
      <w:r w:rsidR="00932E27">
        <w:t xml:space="preserve">: </w:t>
      </w:r>
      <w:hyperlink r:id="rId22" w:history="1">
        <w:r w:rsidR="00932E27" w:rsidRPr="002F7C86">
          <w:rPr>
            <w:rStyle w:val="Hyperlink"/>
          </w:rPr>
          <w:t>https://www.iczn.org/the-code/the-code-online/</w:t>
        </w:r>
      </w:hyperlink>
      <w:r w:rsidR="0076073A">
        <w:t xml:space="preserve"> (ICZN</w:t>
      </w:r>
      <w:r w:rsidR="00616B1A">
        <w:t>;</w:t>
      </w:r>
      <w:r w:rsidR="0076073A">
        <w:t xml:space="preserve"> zoology), </w:t>
      </w:r>
      <w:hyperlink r:id="rId23" w:history="1">
        <w:r w:rsidR="0076073A" w:rsidRPr="002F7C86">
          <w:rPr>
            <w:rStyle w:val="Hyperlink"/>
          </w:rPr>
          <w:t>https://www.iaptglobal.org/icn</w:t>
        </w:r>
      </w:hyperlink>
      <w:r w:rsidR="0076073A">
        <w:t xml:space="preserve"> (IAPT</w:t>
      </w:r>
      <w:r w:rsidR="00616B1A">
        <w:t>;</w:t>
      </w:r>
      <w:r w:rsidR="0076073A">
        <w:t xml:space="preserve"> </w:t>
      </w:r>
      <w:r w:rsidR="00616B1A">
        <w:t xml:space="preserve">algae, fungi and </w:t>
      </w:r>
      <w:r w:rsidR="0076073A">
        <w:t xml:space="preserve">plants) </w:t>
      </w:r>
      <w:r w:rsidR="00D96E24">
        <w:t xml:space="preserve">or </w:t>
      </w:r>
      <w:hyperlink r:id="rId24" w:history="1">
        <w:r w:rsidR="00D96E24" w:rsidRPr="002F7C86">
          <w:rPr>
            <w:rStyle w:val="Hyperlink"/>
          </w:rPr>
          <w:t>https://www.plantfossilnames.org</w:t>
        </w:r>
      </w:hyperlink>
      <w:r w:rsidR="00D96E24">
        <w:t xml:space="preserve"> (PFNR; fossil plants), </w:t>
      </w:r>
      <w:hyperlink r:id="rId25" w:history="1">
        <w:r w:rsidR="002801AB" w:rsidRPr="002F7C86">
          <w:rPr>
            <w:rStyle w:val="Hyperlink"/>
          </w:rPr>
          <w:t>https://www.diatombase.org</w:t>
        </w:r>
      </w:hyperlink>
      <w:r w:rsidR="002801AB">
        <w:t xml:space="preserve"> (</w:t>
      </w:r>
      <w:proofErr w:type="spellStart"/>
      <w:r w:rsidR="001014DA">
        <w:t>DiatomBase</w:t>
      </w:r>
      <w:proofErr w:type="spellEnd"/>
      <w:r w:rsidR="001014DA">
        <w:t xml:space="preserve">; </w:t>
      </w:r>
      <w:r w:rsidR="002801AB">
        <w:t>diatoms).</w:t>
      </w:r>
    </w:p>
    <w:p w14:paraId="6260FFED" w14:textId="77777777" w:rsidR="002049E2" w:rsidRDefault="002049E2" w:rsidP="002049E2"/>
    <w:p w14:paraId="33EF08C1" w14:textId="721576D6" w:rsidR="002049E2" w:rsidRPr="0004628E" w:rsidRDefault="0058622F" w:rsidP="002049E2">
      <w:pPr>
        <w:rPr>
          <w:b/>
          <w:bCs/>
          <w:sz w:val="28"/>
          <w:szCs w:val="28"/>
        </w:rPr>
      </w:pPr>
      <w:r w:rsidRPr="0004628E">
        <w:rPr>
          <w:b/>
          <w:bCs/>
          <w:sz w:val="28"/>
          <w:szCs w:val="28"/>
        </w:rPr>
        <w:t>9</w:t>
      </w:r>
      <w:r w:rsidR="002049E2" w:rsidRPr="0004628E">
        <w:rPr>
          <w:b/>
          <w:bCs/>
          <w:sz w:val="28"/>
          <w:szCs w:val="28"/>
        </w:rPr>
        <w:t xml:space="preserve"> Systematic palaeontology</w:t>
      </w:r>
      <w:r w:rsidR="00E367F7" w:rsidRPr="0004628E">
        <w:rPr>
          <w:b/>
          <w:bCs/>
          <w:sz w:val="28"/>
          <w:szCs w:val="28"/>
        </w:rPr>
        <w:t xml:space="preserve"> section</w:t>
      </w:r>
    </w:p>
    <w:p w14:paraId="486814AD" w14:textId="77777777" w:rsidR="00BF0B8F" w:rsidRDefault="00BF0B8F" w:rsidP="002049E2">
      <w:pPr>
        <w:pStyle w:val="ListParagraph"/>
        <w:numPr>
          <w:ilvl w:val="0"/>
          <w:numId w:val="11"/>
        </w:numPr>
      </w:pPr>
      <w:r>
        <w:t>Headings in the systematic palaeontology section should be centre aligned.</w:t>
      </w:r>
    </w:p>
    <w:p w14:paraId="742F97FF" w14:textId="235D2BDA" w:rsidR="002049E2" w:rsidRDefault="002049E2" w:rsidP="002049E2">
      <w:pPr>
        <w:pStyle w:val="ListParagraph"/>
        <w:numPr>
          <w:ilvl w:val="0"/>
          <w:numId w:val="11"/>
        </w:numPr>
      </w:pPr>
      <w:r>
        <w:t>Each taxon level should be accompanied by the authority and year of publication.</w:t>
      </w:r>
    </w:p>
    <w:p w14:paraId="748DD912" w14:textId="4E9A7F79" w:rsidR="00A272E1" w:rsidRDefault="00A272E1" w:rsidP="002049E2">
      <w:pPr>
        <w:pStyle w:val="ListParagraph"/>
        <w:numPr>
          <w:ilvl w:val="0"/>
          <w:numId w:val="11"/>
        </w:numPr>
      </w:pPr>
      <w:r>
        <w:t>Commas should be placed between authors and dates for taxon authorities (e.g.</w:t>
      </w:r>
      <w:r w:rsidR="009268D4">
        <w:t>,</w:t>
      </w:r>
      <w:r>
        <w:t xml:space="preserve"> Raymond, 1935).</w:t>
      </w:r>
    </w:p>
    <w:p w14:paraId="6169B1F0" w14:textId="7ABADD72" w:rsidR="00BF0B8F" w:rsidRDefault="00BF0B8F" w:rsidP="002049E2">
      <w:pPr>
        <w:pStyle w:val="ListParagraph"/>
        <w:numPr>
          <w:ilvl w:val="0"/>
          <w:numId w:val="11"/>
        </w:numPr>
      </w:pPr>
      <w:r>
        <w:t xml:space="preserve">Use bold font for taxon names (e.g., </w:t>
      </w:r>
      <w:proofErr w:type="spellStart"/>
      <w:r>
        <w:rPr>
          <w:b/>
          <w:bCs/>
        </w:rPr>
        <w:t>Anomalocarididae</w:t>
      </w:r>
      <w:proofErr w:type="spellEnd"/>
      <w:r>
        <w:rPr>
          <w:b/>
          <w:bCs/>
        </w:rPr>
        <w:t xml:space="preserve">, </w:t>
      </w:r>
      <w:r>
        <w:rPr>
          <w:b/>
          <w:bCs/>
          <w:i/>
          <w:iCs/>
        </w:rPr>
        <w:t>Anomalocaris</w:t>
      </w:r>
      <w:r w:rsidRPr="00A132A9">
        <w:t>)</w:t>
      </w:r>
      <w:r w:rsidR="00A132A9">
        <w:t>, except for the final species name.</w:t>
      </w:r>
    </w:p>
    <w:p w14:paraId="191E82FD" w14:textId="5D34BD7D" w:rsidR="00A272E1" w:rsidRDefault="00A272E1" w:rsidP="002049E2">
      <w:pPr>
        <w:pStyle w:val="ListParagraph"/>
        <w:numPr>
          <w:ilvl w:val="0"/>
          <w:numId w:val="11"/>
        </w:numPr>
      </w:pPr>
      <w:r w:rsidRPr="0058138D">
        <w:t>Use</w:t>
      </w:r>
      <w:r w:rsidRPr="00130D3C">
        <w:t xml:space="preserve"> </w:t>
      </w:r>
      <w:r w:rsidR="009268D4">
        <w:t>‘</w:t>
      </w:r>
      <w:r w:rsidRPr="0058138D">
        <w:t>gen.</w:t>
      </w:r>
      <w:r w:rsidRPr="00130D3C">
        <w:t xml:space="preserve"> </w:t>
      </w:r>
      <w:proofErr w:type="spellStart"/>
      <w:r w:rsidRPr="00130D3C">
        <w:t>nov.</w:t>
      </w:r>
      <w:proofErr w:type="spellEnd"/>
      <w:r w:rsidR="009268D4">
        <w:t>’</w:t>
      </w:r>
      <w:r w:rsidRPr="0058138D">
        <w:t>,</w:t>
      </w:r>
      <w:r w:rsidRPr="00130D3C">
        <w:t xml:space="preserve"> </w:t>
      </w:r>
      <w:r w:rsidR="009268D4">
        <w:t>‘</w:t>
      </w:r>
      <w:r w:rsidRPr="0058138D">
        <w:t>sp.</w:t>
      </w:r>
      <w:r w:rsidRPr="00130D3C">
        <w:t xml:space="preserve"> </w:t>
      </w:r>
      <w:proofErr w:type="spellStart"/>
      <w:r w:rsidRPr="00130D3C">
        <w:t>nov.</w:t>
      </w:r>
      <w:proofErr w:type="spellEnd"/>
      <w:r w:rsidR="009268D4">
        <w:t>’</w:t>
      </w:r>
      <w:r w:rsidRPr="0058138D">
        <w:t xml:space="preserve">, </w:t>
      </w:r>
      <w:r w:rsidR="009268D4">
        <w:t>or ‘</w:t>
      </w:r>
      <w:r w:rsidRPr="0058138D">
        <w:t>gen. e</w:t>
      </w:r>
      <w:r w:rsidRPr="00130D3C">
        <w:t xml:space="preserve">t sp. </w:t>
      </w:r>
      <w:proofErr w:type="spellStart"/>
      <w:r>
        <w:t>n</w:t>
      </w:r>
      <w:r w:rsidRPr="00130D3C">
        <w:t>o</w:t>
      </w:r>
      <w:r>
        <w:t>v</w:t>
      </w:r>
      <w:proofErr w:type="spellEnd"/>
      <w:r w:rsidR="009268D4">
        <w:t>’</w:t>
      </w:r>
      <w:r>
        <w:t xml:space="preserve"> to indicate new genera, new species, or new genus and species</w:t>
      </w:r>
      <w:r w:rsidR="005E0931">
        <w:t xml:space="preserve"> respectively</w:t>
      </w:r>
      <w:r>
        <w:t>.</w:t>
      </w:r>
    </w:p>
    <w:p w14:paraId="2E7A74B9" w14:textId="14C5000E" w:rsidR="00A272E1" w:rsidRPr="006E2A9C" w:rsidRDefault="0058138D" w:rsidP="00BF0B8F">
      <w:pPr>
        <w:pStyle w:val="ListParagraph"/>
        <w:numPr>
          <w:ilvl w:val="0"/>
          <w:numId w:val="11"/>
        </w:numPr>
      </w:pPr>
      <w:r>
        <w:t xml:space="preserve">Use </w:t>
      </w:r>
      <w:r w:rsidR="00955152">
        <w:t>‘</w:t>
      </w:r>
      <w:r>
        <w:t xml:space="preserve">comb. </w:t>
      </w:r>
      <w:proofErr w:type="spellStart"/>
      <w:r>
        <w:t>nov.</w:t>
      </w:r>
      <w:proofErr w:type="spellEnd"/>
      <w:r w:rsidR="00955152">
        <w:t>’</w:t>
      </w:r>
      <w:r>
        <w:t xml:space="preserve"> for </w:t>
      </w:r>
      <w:r w:rsidR="00955152">
        <w:t xml:space="preserve">a </w:t>
      </w:r>
      <w:r>
        <w:t>new combination.</w:t>
      </w:r>
    </w:p>
    <w:p w14:paraId="3AAF46CD" w14:textId="471C1BEB" w:rsidR="0058138D" w:rsidRDefault="000778A4" w:rsidP="002049E2">
      <w:pPr>
        <w:pStyle w:val="ListParagraph"/>
        <w:numPr>
          <w:ilvl w:val="0"/>
          <w:numId w:val="11"/>
        </w:numPr>
      </w:pPr>
      <w:r>
        <w:t>The s</w:t>
      </w:r>
      <w:r w:rsidR="0058138D" w:rsidRPr="0058138D">
        <w:t xml:space="preserve">ynonymy </w:t>
      </w:r>
      <w:r>
        <w:t xml:space="preserve">list </w:t>
      </w:r>
      <w:r w:rsidR="0058138D" w:rsidRPr="0058138D">
        <w:t xml:space="preserve">should list </w:t>
      </w:r>
      <w:r w:rsidR="00B66F9E">
        <w:t xml:space="preserve">all </w:t>
      </w:r>
      <w:r w:rsidR="0058138D" w:rsidRPr="0058138D">
        <w:t xml:space="preserve">previous </w:t>
      </w:r>
      <w:r w:rsidR="00B66F9E">
        <w:t xml:space="preserve">taxon </w:t>
      </w:r>
      <w:r w:rsidR="0058138D" w:rsidRPr="0058138D">
        <w:t xml:space="preserve">names as they were published, in order of date of publication. </w:t>
      </w:r>
    </w:p>
    <w:p w14:paraId="0B958E84" w14:textId="170F88D3" w:rsidR="0058138D" w:rsidRDefault="0058138D" w:rsidP="002049E2">
      <w:pPr>
        <w:pStyle w:val="ListParagraph"/>
        <w:numPr>
          <w:ilvl w:val="0"/>
          <w:numId w:val="11"/>
        </w:numPr>
      </w:pPr>
      <w:r w:rsidRPr="0058138D">
        <w:t xml:space="preserve">References </w:t>
      </w:r>
      <w:r>
        <w:t>for taxon</w:t>
      </w:r>
      <w:r w:rsidRPr="0058138D">
        <w:t xml:space="preserve"> author</w:t>
      </w:r>
      <w:r>
        <w:t>ities</w:t>
      </w:r>
      <w:r w:rsidRPr="0058138D">
        <w:t xml:space="preserve"> </w:t>
      </w:r>
      <w:r>
        <w:t xml:space="preserve">and synonymy lists </w:t>
      </w:r>
      <w:r w:rsidRPr="0058138D">
        <w:t>should be included in the reference list</w:t>
      </w:r>
      <w:r>
        <w:t xml:space="preserve"> at the end of the manuscript</w:t>
      </w:r>
      <w:r w:rsidRPr="0058138D">
        <w:t>.</w:t>
      </w:r>
    </w:p>
    <w:p w14:paraId="2ED10245" w14:textId="6D2A5121" w:rsidR="000950AA" w:rsidRDefault="000950AA" w:rsidP="002049E2">
      <w:pPr>
        <w:pStyle w:val="ListParagraph"/>
        <w:numPr>
          <w:ilvl w:val="0"/>
          <w:numId w:val="11"/>
        </w:numPr>
      </w:pPr>
      <w:r>
        <w:t xml:space="preserve">New </w:t>
      </w:r>
      <w:proofErr w:type="spellStart"/>
      <w:r>
        <w:t>taxon</w:t>
      </w:r>
      <w:proofErr w:type="spellEnd"/>
      <w:r>
        <w:t xml:space="preserve"> names should be compliant with our Code of Conduct, and </w:t>
      </w:r>
      <w:r>
        <w:rPr>
          <w:i/>
          <w:iCs/>
        </w:rPr>
        <w:t xml:space="preserve">Open Palaeontology </w:t>
      </w:r>
      <w:r>
        <w:t>reserves the right not to publish taxonomic acts</w:t>
      </w:r>
      <w:r w:rsidR="00DD7C7C">
        <w:t>, f</w:t>
      </w:r>
      <w:r>
        <w:t xml:space="preserve">or example, </w:t>
      </w:r>
      <w:r w:rsidR="00DD7C7C">
        <w:t>if they could be considered offensive.</w:t>
      </w:r>
      <w:r w:rsidR="00071269">
        <w:t xml:space="preserve"> Many resources exist to</w:t>
      </w:r>
      <w:r w:rsidR="00911836">
        <w:t xml:space="preserve"> aid inclusive naming, for example the following articles:</w:t>
      </w:r>
      <w:r w:rsidR="00911836">
        <w:br/>
      </w:r>
      <w:hyperlink r:id="rId26" w:history="1">
        <w:r w:rsidR="00911836" w:rsidRPr="008E4420">
          <w:rPr>
            <w:rStyle w:val="Hyperlink"/>
          </w:rPr>
          <w:t>https://royalsocietypublishing.org/doi/10.1098/rspb.2021.2708</w:t>
        </w:r>
      </w:hyperlink>
    </w:p>
    <w:p w14:paraId="139E9B05" w14:textId="003825E3" w:rsidR="00911836" w:rsidRDefault="00911836" w:rsidP="00911836">
      <w:pPr>
        <w:pStyle w:val="ListParagraph"/>
      </w:pPr>
      <w:hyperlink r:id="rId27" w:history="1">
        <w:r w:rsidRPr="008E4420">
          <w:rPr>
            <w:rStyle w:val="Hyperlink"/>
          </w:rPr>
          <w:t>https://www.nature.com/articles/s41599-021-00975-8</w:t>
        </w:r>
      </w:hyperlink>
    </w:p>
    <w:p w14:paraId="0EC97D06" w14:textId="7B4AA050" w:rsidR="00911836" w:rsidRDefault="00911836" w:rsidP="00911836">
      <w:pPr>
        <w:pStyle w:val="ListParagraph"/>
      </w:pPr>
      <w:hyperlink r:id="rId28" w:history="1">
        <w:r w:rsidRPr="008E4420">
          <w:rPr>
            <w:rStyle w:val="Hyperlink"/>
          </w:rPr>
          <w:t>https://www.researchgate.net/publication/371695912_Inclusive_and_productive_ways_forward_needed_for_species-naming_conventions</w:t>
        </w:r>
      </w:hyperlink>
    </w:p>
    <w:p w14:paraId="1D9EACB7" w14:textId="77777777" w:rsidR="00870FF1" w:rsidRDefault="00213B70" w:rsidP="00213B70">
      <w:pPr>
        <w:pStyle w:val="ListParagraph"/>
        <w:numPr>
          <w:ilvl w:val="0"/>
          <w:numId w:val="11"/>
        </w:numPr>
      </w:pPr>
      <w:r>
        <w:t>At the first mention of a species in the manuscript the full genus assignment should be given, with the species name in italics (e.g.</w:t>
      </w:r>
      <w:r w:rsidR="00870FF1">
        <w:t>,</w:t>
      </w:r>
      <w:r>
        <w:t xml:space="preserve"> </w:t>
      </w:r>
      <w:proofErr w:type="spellStart"/>
      <w:r>
        <w:rPr>
          <w:i/>
          <w:iCs/>
        </w:rPr>
        <w:t>Estaingia</w:t>
      </w:r>
      <w:proofErr w:type="spellEnd"/>
      <w:r>
        <w:rPr>
          <w:i/>
          <w:iCs/>
        </w:rPr>
        <w:t xml:space="preserve"> </w:t>
      </w:r>
      <w:proofErr w:type="spellStart"/>
      <w:r>
        <w:rPr>
          <w:i/>
          <w:iCs/>
        </w:rPr>
        <w:t>bilobata</w:t>
      </w:r>
      <w:proofErr w:type="spellEnd"/>
      <w:r>
        <w:t>). Subsequent mentions can replace this genus name with the first letter capitalised followed by a full stop, or multiple letters if the first letter is shared with another genus mentioned in the paper</w:t>
      </w:r>
      <w:r w:rsidR="00870FF1">
        <w:t xml:space="preserve"> (e.g., </w:t>
      </w:r>
      <w:r>
        <w:rPr>
          <w:i/>
          <w:iCs/>
        </w:rPr>
        <w:t xml:space="preserve">E. </w:t>
      </w:r>
      <w:proofErr w:type="spellStart"/>
      <w:r>
        <w:rPr>
          <w:i/>
          <w:iCs/>
        </w:rPr>
        <w:t>bilobata</w:t>
      </w:r>
      <w:proofErr w:type="spellEnd"/>
      <w:r>
        <w:rPr>
          <w:i/>
          <w:iCs/>
        </w:rPr>
        <w:t xml:space="preserve"> </w:t>
      </w:r>
      <w:r>
        <w:t xml:space="preserve">or </w:t>
      </w:r>
      <w:r>
        <w:rPr>
          <w:i/>
          <w:iCs/>
        </w:rPr>
        <w:t xml:space="preserve">Es. </w:t>
      </w:r>
      <w:proofErr w:type="spellStart"/>
      <w:r>
        <w:rPr>
          <w:i/>
          <w:iCs/>
        </w:rPr>
        <w:t>bilobata</w:t>
      </w:r>
      <w:proofErr w:type="spellEnd"/>
      <w:r w:rsidR="00870FF1">
        <w:t xml:space="preserve">). </w:t>
      </w:r>
    </w:p>
    <w:p w14:paraId="35C01BED" w14:textId="4CDD28DD" w:rsidR="00213B70" w:rsidRPr="00775081" w:rsidRDefault="00870FF1" w:rsidP="00213B70">
      <w:pPr>
        <w:pStyle w:val="ListParagraph"/>
        <w:numPr>
          <w:ilvl w:val="0"/>
          <w:numId w:val="11"/>
        </w:numPr>
      </w:pPr>
      <w:r>
        <w:t xml:space="preserve">At first mention of a species, the taxonomic authority should also be included, formatted like a standard text reference. For example, </w:t>
      </w:r>
      <w:proofErr w:type="spellStart"/>
      <w:r>
        <w:rPr>
          <w:i/>
          <w:iCs/>
        </w:rPr>
        <w:t>Estaingia</w:t>
      </w:r>
      <w:proofErr w:type="spellEnd"/>
      <w:r>
        <w:rPr>
          <w:i/>
          <w:iCs/>
        </w:rPr>
        <w:t xml:space="preserve"> </w:t>
      </w:r>
      <w:proofErr w:type="spellStart"/>
      <w:r>
        <w:rPr>
          <w:i/>
          <w:iCs/>
        </w:rPr>
        <w:t>bilobata</w:t>
      </w:r>
      <w:proofErr w:type="spellEnd"/>
      <w:r>
        <w:rPr>
          <w:i/>
          <w:iCs/>
        </w:rPr>
        <w:t xml:space="preserve"> </w:t>
      </w:r>
      <w:r>
        <w:t>(Pocock, 1964).</w:t>
      </w:r>
    </w:p>
    <w:p w14:paraId="75652352" w14:textId="2EEC56BD" w:rsidR="00213B70" w:rsidRDefault="00213B70" w:rsidP="00213B70">
      <w:pPr>
        <w:pStyle w:val="ListParagraph"/>
        <w:numPr>
          <w:ilvl w:val="0"/>
          <w:numId w:val="11"/>
        </w:numPr>
      </w:pPr>
      <w:r>
        <w:t xml:space="preserve">Taxonomic levels higher than genus should not be in </w:t>
      </w:r>
      <w:proofErr w:type="gramStart"/>
      <w:r>
        <w:t>italics, but</w:t>
      </w:r>
      <w:proofErr w:type="gramEnd"/>
      <w:r>
        <w:t xml:space="preserve"> should be capitalised. If using the common name for the group, rather than the formal taxonomic name, it should not be capitalised. For example, </w:t>
      </w:r>
      <w:proofErr w:type="spellStart"/>
      <w:r>
        <w:t>Agnostida</w:t>
      </w:r>
      <w:proofErr w:type="spellEnd"/>
      <w:r>
        <w:t xml:space="preserve"> versus </w:t>
      </w:r>
      <w:proofErr w:type="spellStart"/>
      <w:r>
        <w:t>agnostid</w:t>
      </w:r>
      <w:proofErr w:type="spellEnd"/>
      <w:r>
        <w:t>.</w:t>
      </w:r>
    </w:p>
    <w:p w14:paraId="3E2FB5E4" w14:textId="67043FEB" w:rsidR="001926FA" w:rsidRDefault="001926FA" w:rsidP="001926FA">
      <w:pPr>
        <w:pStyle w:val="ListParagraph"/>
        <w:numPr>
          <w:ilvl w:val="0"/>
          <w:numId w:val="11"/>
        </w:numPr>
      </w:pPr>
      <w:r>
        <w:t>See the two examples below for help in organising your systematic palaeontology section:</w:t>
      </w:r>
    </w:p>
    <w:p w14:paraId="4F5E024E" w14:textId="77777777" w:rsidR="002F2CB5" w:rsidRDefault="002F2CB5" w:rsidP="000105C3">
      <w:pPr>
        <w:rPr>
          <w:i/>
          <w:iCs/>
        </w:rPr>
      </w:pPr>
    </w:p>
    <w:p w14:paraId="1940815B" w14:textId="77777777" w:rsidR="00755211" w:rsidRDefault="00755211" w:rsidP="000105C3">
      <w:pPr>
        <w:rPr>
          <w:i/>
          <w:iCs/>
        </w:rPr>
      </w:pPr>
    </w:p>
    <w:p w14:paraId="0E58E072" w14:textId="77777777" w:rsidR="00755211" w:rsidRDefault="00755211" w:rsidP="000105C3">
      <w:pPr>
        <w:rPr>
          <w:i/>
          <w:iCs/>
        </w:rPr>
      </w:pPr>
    </w:p>
    <w:p w14:paraId="76A86E35" w14:textId="75FCA7A5" w:rsidR="000105C3" w:rsidRPr="00130D3C" w:rsidRDefault="001E4998" w:rsidP="000105C3">
      <w:pPr>
        <w:rPr>
          <w:b/>
          <w:bCs/>
        </w:rPr>
      </w:pPr>
      <w:r>
        <w:rPr>
          <w:b/>
          <w:bCs/>
        </w:rPr>
        <w:lastRenderedPageBreak/>
        <w:t xml:space="preserve">9.1 </w:t>
      </w:r>
      <w:r w:rsidR="000105C3" w:rsidRPr="00130D3C">
        <w:rPr>
          <w:b/>
          <w:bCs/>
        </w:rPr>
        <w:t>Example systematic palaeontology section</w:t>
      </w:r>
      <w:r w:rsidR="001926FA">
        <w:rPr>
          <w:b/>
          <w:bCs/>
        </w:rPr>
        <w:t xml:space="preserve">, </w:t>
      </w:r>
      <w:r w:rsidR="004009B1" w:rsidRPr="001926FA">
        <w:rPr>
          <w:b/>
          <w:bCs/>
        </w:rPr>
        <w:t>including use of open nomenclature</w:t>
      </w:r>
    </w:p>
    <w:p w14:paraId="791FEE84" w14:textId="77777777" w:rsidR="000105C3" w:rsidRDefault="000105C3" w:rsidP="000105C3"/>
    <w:p w14:paraId="20FEA8BE" w14:textId="0CCE18D1" w:rsidR="000105C3" w:rsidRDefault="000105C3" w:rsidP="000105C3">
      <w:pPr>
        <w:jc w:val="center"/>
      </w:pPr>
      <w:r>
        <w:t xml:space="preserve">Family </w:t>
      </w:r>
      <w:r w:rsidR="005C5696">
        <w:rPr>
          <w:b/>
          <w:bCs/>
        </w:rPr>
        <w:t>Anomalocarididae</w:t>
      </w:r>
      <w:r w:rsidR="00803DA0">
        <w:t xml:space="preserve"> Raymond</w:t>
      </w:r>
      <w:r w:rsidR="005C5696">
        <w:t>,</w:t>
      </w:r>
      <w:r w:rsidR="00803DA0">
        <w:t xml:space="preserve"> 1935</w:t>
      </w:r>
    </w:p>
    <w:p w14:paraId="3BAE3D4E" w14:textId="7474816D" w:rsidR="00803DA0" w:rsidRDefault="00803DA0" w:rsidP="000105C3">
      <w:pPr>
        <w:jc w:val="center"/>
      </w:pPr>
      <w:r>
        <w:t xml:space="preserve">Genus </w:t>
      </w:r>
      <w:r w:rsidRPr="00130D3C">
        <w:rPr>
          <w:b/>
          <w:bCs/>
          <w:i/>
          <w:iCs/>
        </w:rPr>
        <w:t>Anomalocaris</w:t>
      </w:r>
      <w:r>
        <w:rPr>
          <w:i/>
          <w:iCs/>
        </w:rPr>
        <w:t xml:space="preserve"> </w:t>
      </w:r>
      <w:proofErr w:type="spellStart"/>
      <w:r>
        <w:t>Whiteaves</w:t>
      </w:r>
      <w:proofErr w:type="spellEnd"/>
      <w:r w:rsidR="005C5696">
        <w:t>,</w:t>
      </w:r>
      <w:r>
        <w:t xml:space="preserve"> 1892</w:t>
      </w:r>
    </w:p>
    <w:p w14:paraId="49A0FA53" w14:textId="77777777" w:rsidR="002F2CB5" w:rsidRDefault="002F2CB5" w:rsidP="00803DA0">
      <w:pPr>
        <w:rPr>
          <w:i/>
          <w:iCs/>
        </w:rPr>
      </w:pPr>
    </w:p>
    <w:p w14:paraId="73155EA3" w14:textId="21D5D077" w:rsidR="00803DA0" w:rsidRDefault="00803DA0" w:rsidP="00803DA0">
      <w:r w:rsidRPr="00130D3C">
        <w:t>Type species</w:t>
      </w:r>
      <w:r>
        <w:rPr>
          <w:i/>
          <w:iCs/>
        </w:rPr>
        <w:t xml:space="preserve">. Anomalocaris canadensis </w:t>
      </w:r>
      <w:proofErr w:type="spellStart"/>
      <w:r>
        <w:t>Whiteaves</w:t>
      </w:r>
      <w:proofErr w:type="spellEnd"/>
      <w:r w:rsidR="003562C6">
        <w:t>,</w:t>
      </w:r>
      <w:r>
        <w:t xml:space="preserve"> 1892</w:t>
      </w:r>
      <w:r w:rsidR="002F2CB5">
        <w:t>; from the Burgess Shale Formation (Cambrian: Wuliuan), British Columbia, Canada.</w:t>
      </w:r>
    </w:p>
    <w:p w14:paraId="73025445" w14:textId="77777777" w:rsidR="005C5696" w:rsidRDefault="005C5696" w:rsidP="00803DA0"/>
    <w:p w14:paraId="151E9CD5" w14:textId="1A3CB0ED" w:rsidR="00A272E1" w:rsidRPr="00A272E1" w:rsidRDefault="00A272E1" w:rsidP="00803DA0">
      <w:r w:rsidRPr="00130D3C">
        <w:t>Included species</w:t>
      </w:r>
      <w:r>
        <w:rPr>
          <w:i/>
          <w:iCs/>
        </w:rPr>
        <w:t xml:space="preserve">. </w:t>
      </w:r>
      <w:r>
        <w:t>[species in addition to the type species listed here]</w:t>
      </w:r>
      <w:r w:rsidR="003562C6">
        <w:t>.</w:t>
      </w:r>
    </w:p>
    <w:p w14:paraId="3EB5839C" w14:textId="77777777" w:rsidR="00A272E1" w:rsidRDefault="00A272E1" w:rsidP="00803DA0"/>
    <w:p w14:paraId="775AB417" w14:textId="308B77F7" w:rsidR="005C5696" w:rsidRDefault="005C5696" w:rsidP="00803DA0">
      <w:r w:rsidRPr="00130D3C">
        <w:t>Derivation of name</w:t>
      </w:r>
      <w:r>
        <w:t>. [</w:t>
      </w:r>
      <w:r w:rsidR="00A132A9">
        <w:t>only if new names are defined</w:t>
      </w:r>
      <w:r>
        <w:t>]</w:t>
      </w:r>
      <w:r w:rsidR="003562C6">
        <w:t>.</w:t>
      </w:r>
    </w:p>
    <w:p w14:paraId="30E4AA3A" w14:textId="77777777" w:rsidR="005C5696" w:rsidRDefault="005C5696" w:rsidP="00803DA0"/>
    <w:p w14:paraId="6155422A" w14:textId="02D4B7D7" w:rsidR="005C5696" w:rsidRDefault="005C5696" w:rsidP="00803DA0">
      <w:r w:rsidRPr="00130D3C">
        <w:t>Diagnosis</w:t>
      </w:r>
      <w:r>
        <w:t>. [if new genus or if amended from previous]</w:t>
      </w:r>
      <w:r w:rsidR="003562C6">
        <w:t>.</w:t>
      </w:r>
    </w:p>
    <w:p w14:paraId="16A89238" w14:textId="77777777" w:rsidR="005C5696" w:rsidRDefault="005C5696" w:rsidP="00803DA0"/>
    <w:p w14:paraId="3A6F346A" w14:textId="03ABDC32" w:rsidR="005C5696" w:rsidRPr="005C5696" w:rsidRDefault="005C5696" w:rsidP="00803DA0">
      <w:r w:rsidRPr="00130D3C">
        <w:t>Remarks</w:t>
      </w:r>
      <w:r>
        <w:rPr>
          <w:i/>
          <w:iCs/>
        </w:rPr>
        <w:t xml:space="preserve">. </w:t>
      </w:r>
      <w:r>
        <w:t>[optional]</w:t>
      </w:r>
      <w:r w:rsidR="003562C6">
        <w:t>.</w:t>
      </w:r>
    </w:p>
    <w:p w14:paraId="4F83C741" w14:textId="0C491BF2" w:rsidR="005C5696" w:rsidRDefault="005C5696" w:rsidP="00803DA0"/>
    <w:p w14:paraId="6091892F" w14:textId="0DD911DF" w:rsidR="00803DA0" w:rsidRDefault="00803DA0" w:rsidP="00803DA0">
      <w:pPr>
        <w:jc w:val="center"/>
      </w:pPr>
      <w:r>
        <w:rPr>
          <w:i/>
          <w:iCs/>
        </w:rPr>
        <w:t xml:space="preserve">Anomalocaris pennsylvanica </w:t>
      </w:r>
      <w:r>
        <w:t>Resser</w:t>
      </w:r>
      <w:r w:rsidR="005C5696">
        <w:t>,</w:t>
      </w:r>
      <w:r>
        <w:t xml:space="preserve"> 1929</w:t>
      </w:r>
    </w:p>
    <w:p w14:paraId="52447E35" w14:textId="10241017" w:rsidR="005C5696" w:rsidRPr="00130D3C" w:rsidRDefault="00803DA0" w:rsidP="005C5696">
      <w:pPr>
        <w:jc w:val="center"/>
        <w:rPr>
          <w:lang w:val="it-IT"/>
        </w:rPr>
      </w:pPr>
      <w:r w:rsidRPr="00130D3C">
        <w:rPr>
          <w:lang w:val="it-IT"/>
        </w:rPr>
        <w:t>Figure 3</w:t>
      </w:r>
    </w:p>
    <w:p w14:paraId="50067028" w14:textId="77777777" w:rsidR="005C5696" w:rsidRPr="00130D3C" w:rsidRDefault="005C5696" w:rsidP="00130D3C">
      <w:pPr>
        <w:rPr>
          <w:lang w:val="it-IT"/>
        </w:rPr>
      </w:pPr>
    </w:p>
    <w:p w14:paraId="25E5E02A" w14:textId="7AADACA7" w:rsidR="00803DA0" w:rsidRDefault="00803DA0" w:rsidP="00803DA0">
      <w:pPr>
        <w:jc w:val="center"/>
        <w:rPr>
          <w:lang w:val="it-IT"/>
        </w:rPr>
      </w:pPr>
      <w:r w:rsidRPr="00130D3C">
        <w:rPr>
          <w:lang w:val="it-IT"/>
        </w:rPr>
        <w:t xml:space="preserve">1929 </w:t>
      </w:r>
      <w:proofErr w:type="spellStart"/>
      <w:r w:rsidRPr="00130D3C">
        <w:rPr>
          <w:i/>
          <w:iCs/>
          <w:lang w:val="it-IT"/>
        </w:rPr>
        <w:t>Anomalocaris</w:t>
      </w:r>
      <w:proofErr w:type="spellEnd"/>
      <w:r w:rsidRPr="00130D3C">
        <w:rPr>
          <w:i/>
          <w:iCs/>
          <w:lang w:val="it-IT"/>
        </w:rPr>
        <w:t xml:space="preserve"> </w:t>
      </w:r>
      <w:proofErr w:type="spellStart"/>
      <w:r w:rsidRPr="00130D3C">
        <w:rPr>
          <w:i/>
          <w:iCs/>
          <w:lang w:val="it-IT"/>
        </w:rPr>
        <w:t>pennsylvanica</w:t>
      </w:r>
      <w:proofErr w:type="spellEnd"/>
      <w:r w:rsidRPr="00130D3C">
        <w:rPr>
          <w:i/>
          <w:iCs/>
          <w:lang w:val="it-IT"/>
        </w:rPr>
        <w:t xml:space="preserve">; </w:t>
      </w:r>
      <w:proofErr w:type="spellStart"/>
      <w:r w:rsidRPr="00130D3C">
        <w:rPr>
          <w:lang w:val="it-IT"/>
        </w:rPr>
        <w:t>Resser</w:t>
      </w:r>
      <w:proofErr w:type="spellEnd"/>
      <w:r w:rsidRPr="00130D3C">
        <w:rPr>
          <w:lang w:val="it-IT"/>
        </w:rPr>
        <w:t>, p</w:t>
      </w:r>
      <w:r>
        <w:rPr>
          <w:lang w:val="it-IT"/>
        </w:rPr>
        <w:t>l. 5, fig. 5, pl. 79, fig. 5</w:t>
      </w:r>
    </w:p>
    <w:p w14:paraId="0786B873" w14:textId="45971F6C" w:rsidR="00803DA0" w:rsidRDefault="00803DA0" w:rsidP="00803DA0">
      <w:pPr>
        <w:jc w:val="center"/>
      </w:pPr>
      <w:r w:rsidRPr="00130D3C">
        <w:t xml:space="preserve">1938 </w:t>
      </w:r>
      <w:r w:rsidRPr="00130D3C">
        <w:rPr>
          <w:i/>
          <w:iCs/>
        </w:rPr>
        <w:t xml:space="preserve">Anomalocaris pennsylvanica; </w:t>
      </w:r>
      <w:r w:rsidRPr="00130D3C">
        <w:t>Resser and How</w:t>
      </w:r>
      <w:r>
        <w:t>ell, pl. 10, fig. 4</w:t>
      </w:r>
    </w:p>
    <w:p w14:paraId="3447FD0D" w14:textId="794879BF" w:rsidR="00803DA0" w:rsidRDefault="00803DA0" w:rsidP="00803DA0">
      <w:pPr>
        <w:jc w:val="center"/>
      </w:pPr>
      <w:r w:rsidRPr="00803DA0">
        <w:t xml:space="preserve">1979 </w:t>
      </w:r>
      <w:r w:rsidRPr="00803DA0">
        <w:rPr>
          <w:i/>
          <w:iCs/>
        </w:rPr>
        <w:t>Anomalocaris pennsylvanica</w:t>
      </w:r>
      <w:r w:rsidRPr="00803DA0">
        <w:t>; Briggs, p</w:t>
      </w:r>
      <w:r w:rsidRPr="00130D3C">
        <w:t>l. 79, fig. 5, text-fig</w:t>
      </w:r>
      <w:r>
        <w:t>. 18, pp. 641</w:t>
      </w:r>
    </w:p>
    <w:p w14:paraId="41C3F5E2" w14:textId="77777777" w:rsidR="00803DA0" w:rsidRDefault="00803DA0" w:rsidP="00803DA0"/>
    <w:p w14:paraId="6DC958A8" w14:textId="3C5F6237" w:rsidR="00803DA0" w:rsidRDefault="00803DA0" w:rsidP="00803DA0">
      <w:r w:rsidRPr="00130D3C">
        <w:t>Holotype</w:t>
      </w:r>
      <w:r>
        <w:t>. USNM 80487 (part and counterpart), an isolated frontal appendage.</w:t>
      </w:r>
    </w:p>
    <w:p w14:paraId="5581737A" w14:textId="77777777" w:rsidR="009B388B" w:rsidRDefault="009B388B" w:rsidP="00803DA0"/>
    <w:p w14:paraId="57532403" w14:textId="0B5DF0F3" w:rsidR="00803DA0" w:rsidRDefault="00803DA0" w:rsidP="00803DA0">
      <w:r w:rsidRPr="00130D3C">
        <w:t>Type locality</w:t>
      </w:r>
      <w:r>
        <w:t xml:space="preserve">. Locality 12x (Resser 1929). </w:t>
      </w:r>
      <w:r w:rsidR="0083763B">
        <w:t>O</w:t>
      </w:r>
      <w:r w:rsidR="0083763B" w:rsidRPr="00803DA0">
        <w:t>ne- and three-quarter</w:t>
      </w:r>
      <w:r w:rsidRPr="00803DA0">
        <w:t xml:space="preserve"> miles north of </w:t>
      </w:r>
      <w:proofErr w:type="spellStart"/>
      <w:r w:rsidRPr="00803DA0">
        <w:t>Rohrerstown</w:t>
      </w:r>
      <w:proofErr w:type="spellEnd"/>
      <w:r w:rsidRPr="00803DA0">
        <w:t>, Pennsylvania</w:t>
      </w:r>
      <w:r>
        <w:t>, USA.</w:t>
      </w:r>
    </w:p>
    <w:p w14:paraId="7BCBC001" w14:textId="77777777" w:rsidR="000105C3" w:rsidRDefault="000105C3" w:rsidP="000105C3"/>
    <w:p w14:paraId="0150356E" w14:textId="4F5490AB" w:rsidR="002F2CB5" w:rsidRPr="002F2CB5" w:rsidRDefault="002F2CB5" w:rsidP="000105C3">
      <w:r w:rsidRPr="00130D3C">
        <w:t>Paratype</w:t>
      </w:r>
      <w:r>
        <w:t>. YPM 10425 (part only), an isolated frontal appendage.</w:t>
      </w:r>
    </w:p>
    <w:p w14:paraId="008048B6" w14:textId="77777777" w:rsidR="002F2CB5" w:rsidRDefault="002F2CB5" w:rsidP="000105C3"/>
    <w:p w14:paraId="27FC05D6" w14:textId="51FA707F" w:rsidR="002F2CB5" w:rsidRDefault="002F2CB5" w:rsidP="000105C3">
      <w:r w:rsidRPr="00130D3C">
        <w:t>Additional material</w:t>
      </w:r>
      <w:r>
        <w:rPr>
          <w:i/>
          <w:iCs/>
        </w:rPr>
        <w:t xml:space="preserve">. </w:t>
      </w:r>
      <w:r>
        <w:t>USNM 255611 (part only), a partial frontal appendage.</w:t>
      </w:r>
    </w:p>
    <w:p w14:paraId="4F20F3CE" w14:textId="77777777" w:rsidR="002F2CB5" w:rsidRDefault="002F2CB5" w:rsidP="000105C3"/>
    <w:p w14:paraId="4DBFEBC5" w14:textId="58C848FA" w:rsidR="002F2CB5" w:rsidRPr="0083763B" w:rsidRDefault="002F2CB5" w:rsidP="000105C3">
      <w:r w:rsidRPr="00130D3C">
        <w:t>Diagnosis</w:t>
      </w:r>
      <w:r>
        <w:rPr>
          <w:i/>
          <w:iCs/>
        </w:rPr>
        <w:t>.</w:t>
      </w:r>
      <w:r w:rsidR="0083763B">
        <w:rPr>
          <w:i/>
          <w:iCs/>
        </w:rPr>
        <w:t xml:space="preserve"> </w:t>
      </w:r>
      <w:r w:rsidR="0083763B">
        <w:t>[add text for diagnosis here].</w:t>
      </w:r>
    </w:p>
    <w:p w14:paraId="517F9F4B" w14:textId="77777777" w:rsidR="002F2CB5" w:rsidRDefault="002F2CB5" w:rsidP="000105C3">
      <w:pPr>
        <w:rPr>
          <w:i/>
          <w:iCs/>
        </w:rPr>
      </w:pPr>
    </w:p>
    <w:p w14:paraId="2E1417CE" w14:textId="04BCA728" w:rsidR="002F2CB5" w:rsidRDefault="002F2CB5" w:rsidP="000105C3">
      <w:pPr>
        <w:rPr>
          <w:i/>
          <w:iCs/>
        </w:rPr>
      </w:pPr>
      <w:r w:rsidRPr="00130D3C">
        <w:t>Description</w:t>
      </w:r>
      <w:r>
        <w:rPr>
          <w:i/>
          <w:iCs/>
        </w:rPr>
        <w:t>.</w:t>
      </w:r>
      <w:r w:rsidR="0083763B">
        <w:rPr>
          <w:i/>
          <w:iCs/>
        </w:rPr>
        <w:t xml:space="preserve"> </w:t>
      </w:r>
      <w:r w:rsidR="0083763B">
        <w:t xml:space="preserve">[add text for </w:t>
      </w:r>
      <w:r w:rsidR="0083763B">
        <w:t>description</w:t>
      </w:r>
      <w:r w:rsidR="0083763B">
        <w:t xml:space="preserve"> here].</w:t>
      </w:r>
    </w:p>
    <w:p w14:paraId="25A55E83" w14:textId="77777777" w:rsidR="002F2CB5" w:rsidRDefault="002F2CB5" w:rsidP="000105C3">
      <w:pPr>
        <w:rPr>
          <w:i/>
          <w:iCs/>
        </w:rPr>
      </w:pPr>
    </w:p>
    <w:p w14:paraId="07199572" w14:textId="53A007DC" w:rsidR="002F2CB5" w:rsidRDefault="002F2CB5" w:rsidP="000105C3">
      <w:pPr>
        <w:rPr>
          <w:i/>
          <w:iCs/>
        </w:rPr>
      </w:pPr>
      <w:r w:rsidRPr="00130D3C">
        <w:t>Remarks</w:t>
      </w:r>
      <w:r>
        <w:rPr>
          <w:i/>
          <w:iCs/>
        </w:rPr>
        <w:t>.</w:t>
      </w:r>
      <w:r w:rsidR="0083763B">
        <w:rPr>
          <w:i/>
          <w:iCs/>
        </w:rPr>
        <w:t xml:space="preserve"> </w:t>
      </w:r>
      <w:r w:rsidR="0083763B">
        <w:t xml:space="preserve">[add text for </w:t>
      </w:r>
      <w:r w:rsidR="0083763B">
        <w:t>remarks</w:t>
      </w:r>
      <w:r w:rsidR="0083763B">
        <w:t xml:space="preserve"> here].</w:t>
      </w:r>
    </w:p>
    <w:p w14:paraId="2B9CDD14" w14:textId="77777777" w:rsidR="002F2CB5" w:rsidRDefault="002F2CB5" w:rsidP="000105C3">
      <w:pPr>
        <w:rPr>
          <w:i/>
          <w:iCs/>
        </w:rPr>
      </w:pPr>
    </w:p>
    <w:p w14:paraId="585D7F7B" w14:textId="6713542B" w:rsidR="004009B1" w:rsidRDefault="002F2CB5" w:rsidP="004009B1">
      <w:r w:rsidRPr="00130D3C">
        <w:t>Occurrence</w:t>
      </w:r>
      <w:r>
        <w:rPr>
          <w:i/>
          <w:iCs/>
        </w:rPr>
        <w:t xml:space="preserve">. </w:t>
      </w:r>
      <w:proofErr w:type="spellStart"/>
      <w:r w:rsidR="005C5696">
        <w:t>Kinzers</w:t>
      </w:r>
      <w:proofErr w:type="spellEnd"/>
      <w:r w:rsidR="005C5696">
        <w:t xml:space="preserve"> Formation (Cambrian: Stage 4). </w:t>
      </w:r>
      <w:r>
        <w:t>Localities 12x</w:t>
      </w:r>
      <w:r w:rsidR="005C5696">
        <w:t xml:space="preserve"> (</w:t>
      </w:r>
      <w:r w:rsidR="001D5DD6">
        <w:t>o</w:t>
      </w:r>
      <w:r w:rsidR="005C5696" w:rsidRPr="00803DA0">
        <w:t>ne</w:t>
      </w:r>
      <w:r w:rsidR="00F01D12">
        <w:t>-</w:t>
      </w:r>
      <w:r w:rsidR="005C5696" w:rsidRPr="00803DA0">
        <w:t xml:space="preserve"> and three</w:t>
      </w:r>
      <w:r w:rsidR="00F01D12">
        <w:t>-</w:t>
      </w:r>
      <w:r w:rsidR="005C5696" w:rsidRPr="00803DA0">
        <w:t xml:space="preserve">quarter miles north of </w:t>
      </w:r>
      <w:proofErr w:type="spellStart"/>
      <w:r w:rsidR="005C5696" w:rsidRPr="00803DA0">
        <w:t>Rohrerstown</w:t>
      </w:r>
      <w:proofErr w:type="spellEnd"/>
      <w:r w:rsidR="005C5696">
        <w:t>)</w:t>
      </w:r>
      <w:r>
        <w:t xml:space="preserve"> and 22L</w:t>
      </w:r>
      <w:r w:rsidR="005C5696">
        <w:t xml:space="preserve"> (half a mile south of East </w:t>
      </w:r>
      <w:proofErr w:type="spellStart"/>
      <w:r w:rsidR="005C5696">
        <w:t>Petersberg</w:t>
      </w:r>
      <w:proofErr w:type="spellEnd"/>
      <w:r w:rsidR="005C5696">
        <w:t>), both Pennsylvania, USA (</w:t>
      </w:r>
      <w:proofErr w:type="spellStart"/>
      <w:r w:rsidR="005C5696">
        <w:t>Resser</w:t>
      </w:r>
      <w:proofErr w:type="spellEnd"/>
      <w:r w:rsidR="00F01D12">
        <w:t>,</w:t>
      </w:r>
      <w:r w:rsidR="005C5696">
        <w:t xml:space="preserve"> 1929).</w:t>
      </w:r>
    </w:p>
    <w:p w14:paraId="0DF50FA0" w14:textId="77777777" w:rsidR="009C581A" w:rsidRDefault="009C581A" w:rsidP="004009B1"/>
    <w:p w14:paraId="0D608CA4" w14:textId="77777777" w:rsidR="009C581A" w:rsidRPr="000E3BFA" w:rsidRDefault="009C581A" w:rsidP="009C581A">
      <w:pPr>
        <w:jc w:val="center"/>
        <w:rPr>
          <w:i/>
          <w:iCs/>
        </w:rPr>
      </w:pPr>
      <w:r w:rsidRPr="000E3BFA">
        <w:rPr>
          <w:i/>
          <w:iCs/>
        </w:rPr>
        <w:t>Anomalocaris</w:t>
      </w:r>
      <w:r>
        <w:t xml:space="preserve"> cf. </w:t>
      </w:r>
      <w:r>
        <w:rPr>
          <w:i/>
          <w:iCs/>
        </w:rPr>
        <w:t>canadensis</w:t>
      </w:r>
    </w:p>
    <w:p w14:paraId="4C001EDC" w14:textId="2AAAE71F" w:rsidR="009C581A" w:rsidRDefault="009C581A" w:rsidP="009C581A">
      <w:pPr>
        <w:jc w:val="center"/>
      </w:pPr>
      <w:r>
        <w:t>Figures 4</w:t>
      </w:r>
      <w:r w:rsidR="00163AC8">
        <w:t xml:space="preserve"> and</w:t>
      </w:r>
      <w:r>
        <w:t xml:space="preserve"> 5</w:t>
      </w:r>
    </w:p>
    <w:p w14:paraId="48E07A38" w14:textId="77777777" w:rsidR="009C581A" w:rsidRDefault="009C581A" w:rsidP="009C581A">
      <w:pPr>
        <w:jc w:val="center"/>
      </w:pPr>
    </w:p>
    <w:p w14:paraId="74EF54A2" w14:textId="3A96F882" w:rsidR="009C581A" w:rsidRDefault="009C581A" w:rsidP="009C581A">
      <w:r>
        <w:t>Material. NHMUK PAL 0001</w:t>
      </w:r>
      <w:r w:rsidR="002D3B69">
        <w:t>, USNM 002, YPM 003. Com</w:t>
      </w:r>
      <w:r>
        <w:t>plete frontal appendages.</w:t>
      </w:r>
    </w:p>
    <w:p w14:paraId="1C8EBAB9" w14:textId="77777777" w:rsidR="009C581A" w:rsidRDefault="009C581A" w:rsidP="009C581A"/>
    <w:p w14:paraId="2A9E0607" w14:textId="5B7DFC21" w:rsidR="009C581A" w:rsidRDefault="009C581A" w:rsidP="009C581A">
      <w:r>
        <w:t>Description.</w:t>
      </w:r>
      <w:r w:rsidR="00166976">
        <w:rPr>
          <w:i/>
          <w:iCs/>
        </w:rPr>
        <w:t xml:space="preserve"> </w:t>
      </w:r>
      <w:r w:rsidR="00166976">
        <w:t>[add text for description here].</w:t>
      </w:r>
    </w:p>
    <w:p w14:paraId="0B5A0493" w14:textId="59D8871D" w:rsidR="009C581A" w:rsidRDefault="009C581A" w:rsidP="009C581A">
      <w:r>
        <w:lastRenderedPageBreak/>
        <w:br/>
        <w:t>Remarks.</w:t>
      </w:r>
      <w:r w:rsidR="00166976">
        <w:rPr>
          <w:i/>
          <w:iCs/>
        </w:rPr>
        <w:t xml:space="preserve"> </w:t>
      </w:r>
      <w:r w:rsidR="00166976">
        <w:t>[add text for remarks here].</w:t>
      </w:r>
    </w:p>
    <w:p w14:paraId="176E4090" w14:textId="77777777" w:rsidR="009C581A" w:rsidRDefault="009C581A" w:rsidP="009C581A"/>
    <w:p w14:paraId="7BAFA0E3" w14:textId="5FBA1CDF" w:rsidR="009C581A" w:rsidRDefault="009C581A" w:rsidP="009C581A">
      <w:r>
        <w:t xml:space="preserve">Occurrence. </w:t>
      </w:r>
      <w:r w:rsidR="003825F7" w:rsidRPr="003825F7">
        <w:t>Lower Cycle 6 of the Spence Shale Member (</w:t>
      </w:r>
      <w:r w:rsidR="0053628D">
        <w:t xml:space="preserve">Cambrian: </w:t>
      </w:r>
      <w:proofErr w:type="spellStart"/>
      <w:r w:rsidR="0053628D">
        <w:t>Wuliuan</w:t>
      </w:r>
      <w:proofErr w:type="spellEnd"/>
      <w:r w:rsidR="0053628D">
        <w:t xml:space="preserve">, </w:t>
      </w:r>
      <w:proofErr w:type="spellStart"/>
      <w:r w:rsidR="003825F7" w:rsidRPr="003825F7">
        <w:rPr>
          <w:i/>
          <w:iCs/>
        </w:rPr>
        <w:t>Glossopleura</w:t>
      </w:r>
      <w:proofErr w:type="spellEnd"/>
      <w:r w:rsidR="003825F7" w:rsidRPr="003825F7">
        <w:rPr>
          <w:i/>
          <w:iCs/>
        </w:rPr>
        <w:t xml:space="preserve"> </w:t>
      </w:r>
      <w:proofErr w:type="spellStart"/>
      <w:r w:rsidR="003825F7" w:rsidRPr="003825F7">
        <w:rPr>
          <w:i/>
          <w:iCs/>
        </w:rPr>
        <w:t>walcotti</w:t>
      </w:r>
      <w:proofErr w:type="spellEnd"/>
      <w:r w:rsidR="003825F7" w:rsidRPr="003825F7">
        <w:t xml:space="preserve"> Biozone) of the Langston Formation, Miners Hollow locality</w:t>
      </w:r>
      <w:r w:rsidR="00865055">
        <w:t xml:space="preserve">, </w:t>
      </w:r>
      <w:r w:rsidR="003825F7" w:rsidRPr="003825F7">
        <w:t>Wellsville Mountains, Box Elder County, Utah.</w:t>
      </w:r>
      <w:r w:rsidR="00865055">
        <w:t xml:space="preserve"> GPS coordinates: XXX, YYY</w:t>
      </w:r>
      <w:r w:rsidR="004A4266">
        <w:t>.</w:t>
      </w:r>
    </w:p>
    <w:p w14:paraId="4ED83730" w14:textId="77777777" w:rsidR="004009B1" w:rsidRDefault="004009B1" w:rsidP="004009B1"/>
    <w:p w14:paraId="12C8F0D0" w14:textId="38E972D7" w:rsidR="004009B1" w:rsidRDefault="004009B1" w:rsidP="00130D3C">
      <w:pPr>
        <w:jc w:val="center"/>
      </w:pPr>
      <w:r w:rsidRPr="00130D3C">
        <w:rPr>
          <w:i/>
          <w:iCs/>
        </w:rPr>
        <w:t>Anomalocaris</w:t>
      </w:r>
      <w:r>
        <w:t xml:space="preserve"> sp.</w:t>
      </w:r>
    </w:p>
    <w:p w14:paraId="41CB20F2" w14:textId="52A1E816" w:rsidR="004009B1" w:rsidRDefault="004009B1" w:rsidP="00130D3C">
      <w:pPr>
        <w:jc w:val="center"/>
      </w:pPr>
      <w:r>
        <w:t>Figure</w:t>
      </w:r>
      <w:r w:rsidR="00A55056">
        <w:t xml:space="preserve">s </w:t>
      </w:r>
      <w:r w:rsidR="009C581A">
        <w:t>6</w:t>
      </w:r>
      <w:r w:rsidR="00AC5B17">
        <w:t xml:space="preserve"> and</w:t>
      </w:r>
      <w:r w:rsidR="009C581A">
        <w:t xml:space="preserve"> 7</w:t>
      </w:r>
    </w:p>
    <w:p w14:paraId="3FA8AFE7" w14:textId="77777777" w:rsidR="004009B1" w:rsidRDefault="004009B1" w:rsidP="004009B1"/>
    <w:p w14:paraId="6ED9FE20" w14:textId="77777777" w:rsidR="00B22875" w:rsidRDefault="00B22875" w:rsidP="00B22875">
      <w:r>
        <w:t>Material. JY-1999AB (part and counterpart), incomplete frontal appendages preserving only distal region.</w:t>
      </w:r>
    </w:p>
    <w:p w14:paraId="3BF6F2BC" w14:textId="77777777" w:rsidR="00B22875" w:rsidRDefault="00B22875" w:rsidP="00B22875"/>
    <w:p w14:paraId="0BCAD95C" w14:textId="5AF736DF" w:rsidR="00B22875" w:rsidRDefault="00B22875" w:rsidP="00B22875">
      <w:r>
        <w:t>Description.</w:t>
      </w:r>
      <w:r w:rsidR="00DC1FEA">
        <w:rPr>
          <w:i/>
          <w:iCs/>
        </w:rPr>
        <w:t xml:space="preserve"> </w:t>
      </w:r>
      <w:r w:rsidR="00DC1FEA">
        <w:t>[add text for description here].</w:t>
      </w:r>
    </w:p>
    <w:p w14:paraId="000167B5" w14:textId="57F7ED21" w:rsidR="00B22875" w:rsidRDefault="00B22875" w:rsidP="00B22875">
      <w:r>
        <w:br/>
        <w:t>Remarks.</w:t>
      </w:r>
      <w:r w:rsidR="00DC1FEA">
        <w:rPr>
          <w:i/>
          <w:iCs/>
        </w:rPr>
        <w:t xml:space="preserve"> </w:t>
      </w:r>
      <w:r w:rsidR="00DC1FEA">
        <w:t>[add text for remarks here].</w:t>
      </w:r>
    </w:p>
    <w:p w14:paraId="50F43098" w14:textId="77777777" w:rsidR="00B22875" w:rsidRDefault="00B22875" w:rsidP="00B22875"/>
    <w:p w14:paraId="42F906A5" w14:textId="77777777" w:rsidR="00B22875" w:rsidRDefault="00B22875" w:rsidP="00B22875">
      <w:r>
        <w:t xml:space="preserve">Occurrence. Middle member of the </w:t>
      </w:r>
      <w:proofErr w:type="spellStart"/>
      <w:r>
        <w:t>Shuijingtuo</w:t>
      </w:r>
      <w:proofErr w:type="spellEnd"/>
      <w:r>
        <w:t xml:space="preserve"> Formation, </w:t>
      </w:r>
      <w:proofErr w:type="spellStart"/>
      <w:r w:rsidRPr="000E450E">
        <w:rPr>
          <w:i/>
          <w:iCs/>
        </w:rPr>
        <w:t>Tsunyidiscus</w:t>
      </w:r>
      <w:proofErr w:type="spellEnd"/>
      <w:r>
        <w:t>–</w:t>
      </w:r>
      <w:proofErr w:type="spellStart"/>
      <w:r w:rsidRPr="000E450E">
        <w:rPr>
          <w:i/>
          <w:iCs/>
        </w:rPr>
        <w:t>Sinodiscus</w:t>
      </w:r>
      <w:proofErr w:type="spellEnd"/>
      <w:r>
        <w:t xml:space="preserve"> Assemblage Zone, Stage 3, Series 2, Cambrian, </w:t>
      </w:r>
      <w:proofErr w:type="spellStart"/>
      <w:r>
        <w:t>Jinyangkou</w:t>
      </w:r>
      <w:proofErr w:type="spellEnd"/>
      <w:r>
        <w:t xml:space="preserve"> Section of </w:t>
      </w:r>
      <w:proofErr w:type="spellStart"/>
      <w:r>
        <w:t>Changyang</w:t>
      </w:r>
      <w:proofErr w:type="spellEnd"/>
      <w:r>
        <w:t xml:space="preserve"> County, Hubei Province, China.</w:t>
      </w:r>
    </w:p>
    <w:p w14:paraId="696A818C" w14:textId="77777777" w:rsidR="009C581A" w:rsidRDefault="009C581A" w:rsidP="004009B1"/>
    <w:p w14:paraId="264B3D41" w14:textId="3AE87BC5" w:rsidR="004009B1" w:rsidRPr="001926FA" w:rsidRDefault="001E4998" w:rsidP="004009B1">
      <w:pPr>
        <w:rPr>
          <w:b/>
          <w:bCs/>
        </w:rPr>
      </w:pPr>
      <w:r>
        <w:rPr>
          <w:b/>
          <w:bCs/>
        </w:rPr>
        <w:t xml:space="preserve">9.2 </w:t>
      </w:r>
      <w:r w:rsidR="004009B1" w:rsidRPr="001926FA">
        <w:rPr>
          <w:b/>
          <w:bCs/>
        </w:rPr>
        <w:t>Example systematic palaeontology section</w:t>
      </w:r>
      <w:r w:rsidR="001926FA">
        <w:rPr>
          <w:b/>
          <w:bCs/>
        </w:rPr>
        <w:t>,</w:t>
      </w:r>
      <w:r w:rsidR="004009B1" w:rsidRPr="001926FA">
        <w:rPr>
          <w:b/>
          <w:bCs/>
        </w:rPr>
        <w:t xml:space="preserve"> including extended </w:t>
      </w:r>
      <w:r w:rsidRPr="001926FA">
        <w:rPr>
          <w:b/>
          <w:bCs/>
        </w:rPr>
        <w:t>synonymy</w:t>
      </w:r>
      <w:r w:rsidR="004009B1" w:rsidRPr="001926FA">
        <w:rPr>
          <w:b/>
          <w:bCs/>
        </w:rPr>
        <w:t xml:space="preserve"> list</w:t>
      </w:r>
    </w:p>
    <w:p w14:paraId="02CD9AF4" w14:textId="77777777" w:rsidR="004009B1" w:rsidRDefault="004009B1" w:rsidP="004009B1"/>
    <w:p w14:paraId="3B15E0AF" w14:textId="6D3EFD8A" w:rsidR="004009B1" w:rsidRDefault="004009B1" w:rsidP="00130D3C">
      <w:pPr>
        <w:jc w:val="center"/>
      </w:pPr>
      <w:r>
        <w:t xml:space="preserve">Superclass </w:t>
      </w:r>
      <w:r w:rsidRPr="00130D3C">
        <w:rPr>
          <w:b/>
          <w:bCs/>
        </w:rPr>
        <w:t>Gnathostomata</w:t>
      </w:r>
      <w:r>
        <w:t xml:space="preserve"> </w:t>
      </w:r>
      <w:proofErr w:type="spellStart"/>
      <w:r>
        <w:t>Gegenbaur</w:t>
      </w:r>
      <w:proofErr w:type="spellEnd"/>
      <w:r>
        <w:t>, 1874</w:t>
      </w:r>
    </w:p>
    <w:p w14:paraId="51595A89" w14:textId="2FAA08B0" w:rsidR="004009B1" w:rsidRDefault="004009B1" w:rsidP="00130D3C">
      <w:pPr>
        <w:jc w:val="center"/>
      </w:pPr>
      <w:r>
        <w:t xml:space="preserve">Class </w:t>
      </w:r>
      <w:r w:rsidRPr="00130D3C">
        <w:rPr>
          <w:b/>
          <w:bCs/>
        </w:rPr>
        <w:t>Chondrichthyes</w:t>
      </w:r>
      <w:r>
        <w:t xml:space="preserve"> Huxley, 1880</w:t>
      </w:r>
    </w:p>
    <w:p w14:paraId="6BF3261D" w14:textId="10F6A0AF" w:rsidR="004009B1" w:rsidRDefault="004009B1" w:rsidP="00130D3C">
      <w:pPr>
        <w:jc w:val="center"/>
      </w:pPr>
      <w:r>
        <w:t xml:space="preserve">Genus </w:t>
      </w:r>
      <w:proofErr w:type="spellStart"/>
      <w:r w:rsidRPr="00130D3C">
        <w:rPr>
          <w:b/>
          <w:bCs/>
          <w:i/>
          <w:iCs/>
        </w:rPr>
        <w:t>Vernicomacanthus</w:t>
      </w:r>
      <w:proofErr w:type="spellEnd"/>
      <w:r>
        <w:t xml:space="preserve"> Miles, 1973</w:t>
      </w:r>
    </w:p>
    <w:p w14:paraId="45C697DA" w14:textId="77777777" w:rsidR="004009B1" w:rsidRDefault="004009B1" w:rsidP="004009B1"/>
    <w:p w14:paraId="207D496E" w14:textId="771269B4" w:rsidR="004009B1" w:rsidRDefault="004009B1" w:rsidP="004009B1">
      <w:r>
        <w:t xml:space="preserve">Type species.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t xml:space="preserve"> Powrie</w:t>
      </w:r>
      <w:r w:rsidR="003F6BF0">
        <w:t>, 1864</w:t>
      </w:r>
      <w:r>
        <w:t xml:space="preserve"> (= </w:t>
      </w:r>
      <w:proofErr w:type="spellStart"/>
      <w:r w:rsidRPr="004B5130">
        <w:rPr>
          <w:i/>
          <w:iCs/>
        </w:rPr>
        <w:t>Climatius</w:t>
      </w:r>
      <w:proofErr w:type="spellEnd"/>
      <w:r>
        <w:t xml:space="preserve"> </w:t>
      </w:r>
      <w:proofErr w:type="spellStart"/>
      <w:r w:rsidRPr="004B5130">
        <w:rPr>
          <w:i/>
          <w:iCs/>
        </w:rPr>
        <w:t>uncinatus</w:t>
      </w:r>
      <w:proofErr w:type="spellEnd"/>
      <w:r>
        <w:t xml:space="preserve"> Powrie, 1864).</w:t>
      </w:r>
    </w:p>
    <w:p w14:paraId="17FD9761" w14:textId="77777777" w:rsidR="004009B1" w:rsidRDefault="004009B1" w:rsidP="004009B1"/>
    <w:p w14:paraId="602B4AB5" w14:textId="18F55D00" w:rsidR="004009B1" w:rsidRDefault="004009B1" w:rsidP="004009B1">
      <w:r>
        <w:t>Type specimen. NMS G.1891.92.208 (Fig. 3) is the lectotype.</w:t>
      </w:r>
    </w:p>
    <w:p w14:paraId="08DC3A6A" w14:textId="77777777" w:rsidR="004009B1" w:rsidRDefault="004009B1" w:rsidP="004009B1"/>
    <w:p w14:paraId="0E16E40B" w14:textId="43A82699" w:rsidR="004009B1" w:rsidRDefault="004009B1" w:rsidP="004009B1">
      <w:r>
        <w:t>Remarks</w:t>
      </w:r>
      <w:r w:rsidR="009B388B">
        <w:t>.</w:t>
      </w:r>
      <w:r w:rsidR="00B00184">
        <w:rPr>
          <w:i/>
          <w:iCs/>
        </w:rPr>
        <w:t xml:space="preserve"> </w:t>
      </w:r>
      <w:r w:rsidR="00B00184">
        <w:t>[</w:t>
      </w:r>
      <w:r w:rsidR="00DF7AA1">
        <w:t>optional</w:t>
      </w:r>
      <w:r w:rsidR="00B00184">
        <w:t>].</w:t>
      </w:r>
    </w:p>
    <w:p w14:paraId="3E16B3EE" w14:textId="72F070E0" w:rsidR="003B4C4D" w:rsidRDefault="004009B1" w:rsidP="004009B1">
      <w:pPr>
        <w:jc w:val="center"/>
      </w:pPr>
      <w:r>
        <w:br/>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t xml:space="preserve"> Powrie, 1864</w:t>
      </w:r>
    </w:p>
    <w:p w14:paraId="02AACA5C" w14:textId="709FD0B5" w:rsidR="004009B1" w:rsidRDefault="004009B1" w:rsidP="004009B1">
      <w:pPr>
        <w:jc w:val="center"/>
      </w:pPr>
      <w:r>
        <w:t>Figures 1–12</w:t>
      </w:r>
    </w:p>
    <w:p w14:paraId="643A1AF0" w14:textId="77777777" w:rsidR="004009B1" w:rsidRDefault="004009B1" w:rsidP="00130D3C">
      <w:pPr>
        <w:jc w:val="center"/>
      </w:pPr>
    </w:p>
    <w:p w14:paraId="49709835" w14:textId="77777777" w:rsidR="004009B1" w:rsidRDefault="004009B1" w:rsidP="00130D3C">
      <w:pPr>
        <w:jc w:val="center"/>
      </w:pPr>
      <w:r>
        <w:t>1858 ‘</w:t>
      </w:r>
      <w:proofErr w:type="spellStart"/>
      <w:r>
        <w:t>Balruddery</w:t>
      </w:r>
      <w:proofErr w:type="spellEnd"/>
      <w:r>
        <w:t xml:space="preserve"> spines’; Miller, p. 160, 1 ﬁg.</w:t>
      </w:r>
    </w:p>
    <w:p w14:paraId="3C11625A" w14:textId="23F4DCE2" w:rsidR="004009B1" w:rsidRDefault="004009B1" w:rsidP="00130D3C">
      <w:pPr>
        <w:jc w:val="center"/>
      </w:pPr>
      <w:r>
        <w:t xml:space="preserve">1864 </w:t>
      </w:r>
      <w:proofErr w:type="spellStart"/>
      <w:r w:rsidRPr="00130D3C">
        <w:rPr>
          <w:i/>
          <w:iCs/>
        </w:rPr>
        <w:t>Climatius</w:t>
      </w:r>
      <w:proofErr w:type="spellEnd"/>
      <w:r w:rsidRPr="00130D3C">
        <w:rPr>
          <w:i/>
          <w:iCs/>
        </w:rPr>
        <w:t xml:space="preserve"> </w:t>
      </w:r>
      <w:proofErr w:type="spellStart"/>
      <w:r w:rsidRPr="00130D3C">
        <w:rPr>
          <w:i/>
          <w:iCs/>
        </w:rPr>
        <w:t>uncinatus</w:t>
      </w:r>
      <w:proofErr w:type="spellEnd"/>
      <w:r w:rsidR="00061F66" w:rsidRPr="00061F66">
        <w:t>;</w:t>
      </w:r>
      <w:r>
        <w:t xml:space="preserve"> Powrie </w:t>
      </w:r>
      <w:r w:rsidR="00CD1A1E">
        <w:t>(</w:t>
      </w:r>
      <w:proofErr w:type="spellStart"/>
      <w:r>
        <w:t>ex Egerton</w:t>
      </w:r>
      <w:proofErr w:type="spellEnd"/>
      <w:r>
        <w:t xml:space="preserve"> MS</w:t>
      </w:r>
      <w:r w:rsidR="00CD1A1E">
        <w:t>)</w:t>
      </w:r>
      <w:r>
        <w:t>, pp 422–423.</w:t>
      </w:r>
    </w:p>
    <w:p w14:paraId="01F6F8A1" w14:textId="41942CBD" w:rsidR="004009B1" w:rsidRDefault="004009B1" w:rsidP="00130D3C">
      <w:pPr>
        <w:jc w:val="center"/>
      </w:pPr>
      <w:r>
        <w:t xml:space="preserve">1867 </w:t>
      </w:r>
      <w:proofErr w:type="spellStart"/>
      <w:r w:rsidRPr="00130D3C">
        <w:rPr>
          <w:i/>
          <w:iCs/>
        </w:rPr>
        <w:t>Climatius</w:t>
      </w:r>
      <w:proofErr w:type="spellEnd"/>
      <w:r w:rsidRPr="00130D3C">
        <w:rPr>
          <w:i/>
          <w:iCs/>
        </w:rPr>
        <w:t xml:space="preserve"> </w:t>
      </w:r>
      <w:proofErr w:type="spellStart"/>
      <w:r w:rsidR="002A6E40">
        <w:rPr>
          <w:i/>
          <w:iCs/>
        </w:rPr>
        <w:t>u</w:t>
      </w:r>
      <w:r w:rsidRPr="00130D3C">
        <w:rPr>
          <w:i/>
          <w:iCs/>
        </w:rPr>
        <w:t>ncinatus</w:t>
      </w:r>
      <w:proofErr w:type="spellEnd"/>
      <w:r>
        <w:t>; Anonymous, p. 7, 2 ﬁgs.</w:t>
      </w:r>
    </w:p>
    <w:p w14:paraId="7AACFB79" w14:textId="06C635E4" w:rsidR="004009B1" w:rsidRDefault="004009B1" w:rsidP="00130D3C">
      <w:pPr>
        <w:jc w:val="center"/>
      </w:pPr>
      <w:r>
        <w:t xml:space="preserve">1870 </w:t>
      </w:r>
      <w:proofErr w:type="spellStart"/>
      <w:r w:rsidRPr="00130D3C">
        <w:rPr>
          <w:i/>
          <w:iCs/>
        </w:rPr>
        <w:t>Climatius</w:t>
      </w:r>
      <w:proofErr w:type="spellEnd"/>
      <w:r w:rsidRPr="00130D3C">
        <w:rPr>
          <w:i/>
          <w:iCs/>
        </w:rPr>
        <w:t xml:space="preserve"> </w:t>
      </w:r>
      <w:proofErr w:type="spellStart"/>
      <w:r w:rsidRPr="00130D3C">
        <w:rPr>
          <w:i/>
          <w:iCs/>
        </w:rPr>
        <w:t>uncinatus</w:t>
      </w:r>
      <w:proofErr w:type="spellEnd"/>
      <w:r>
        <w:t>; Powrie, p. 296, pl. 14 ﬁg. 11.</w:t>
      </w:r>
    </w:p>
    <w:p w14:paraId="593839A2" w14:textId="77777777" w:rsidR="004009B1" w:rsidRDefault="004009B1" w:rsidP="00130D3C">
      <w:pPr>
        <w:jc w:val="center"/>
      </w:pPr>
      <w:r>
        <w:t xml:space="preserve">1874 </w:t>
      </w:r>
      <w:r w:rsidRPr="00130D3C">
        <w:rPr>
          <w:i/>
          <w:iCs/>
        </w:rPr>
        <w:t xml:space="preserve">C. </w:t>
      </w:r>
      <w:proofErr w:type="spellStart"/>
      <w:r w:rsidRPr="00130D3C">
        <w:rPr>
          <w:i/>
          <w:iCs/>
        </w:rPr>
        <w:t>uncinatus</w:t>
      </w:r>
      <w:proofErr w:type="spellEnd"/>
      <w:r>
        <w:t xml:space="preserve"> </w:t>
      </w:r>
      <w:proofErr w:type="spellStart"/>
      <w:r>
        <w:t>Eg.</w:t>
      </w:r>
      <w:proofErr w:type="spellEnd"/>
      <w:r>
        <w:t>; Barkas, p. 549.</w:t>
      </w:r>
    </w:p>
    <w:p w14:paraId="5D07E32D" w14:textId="77777777" w:rsidR="004009B1" w:rsidRDefault="004009B1" w:rsidP="00130D3C">
      <w:pPr>
        <w:jc w:val="center"/>
      </w:pPr>
      <w:r>
        <w:t xml:space="preserve">1881 </w:t>
      </w:r>
      <w:proofErr w:type="spellStart"/>
      <w:r w:rsidRPr="00130D3C">
        <w:rPr>
          <w:i/>
          <w:iCs/>
        </w:rPr>
        <w:t>Climatius</w:t>
      </w:r>
      <w:proofErr w:type="spellEnd"/>
      <w:r w:rsidRPr="00130D3C">
        <w:rPr>
          <w:i/>
          <w:iCs/>
        </w:rPr>
        <w:t xml:space="preserve"> </w:t>
      </w:r>
      <w:proofErr w:type="spellStart"/>
      <w:r w:rsidRPr="00130D3C">
        <w:rPr>
          <w:i/>
          <w:iCs/>
        </w:rPr>
        <w:t>Uncinatus</w:t>
      </w:r>
      <w:proofErr w:type="spellEnd"/>
      <w:r>
        <w:t>; Powrie, p. 168.</w:t>
      </w:r>
    </w:p>
    <w:p w14:paraId="1750762B" w14:textId="7BCE2D8F" w:rsidR="004009B1" w:rsidRDefault="004009B1" w:rsidP="00130D3C">
      <w:pPr>
        <w:jc w:val="center"/>
      </w:pPr>
      <w:r>
        <w:t xml:space="preserve">1890 </w:t>
      </w:r>
      <w:proofErr w:type="spellStart"/>
      <w:r w:rsidRPr="00130D3C">
        <w:rPr>
          <w:i/>
          <w:iCs/>
        </w:rPr>
        <w:t>Climatius</w:t>
      </w:r>
      <w:proofErr w:type="spellEnd"/>
      <w:r w:rsidRPr="00130D3C">
        <w:rPr>
          <w:i/>
          <w:iCs/>
        </w:rPr>
        <w:t xml:space="preserve"> </w:t>
      </w:r>
      <w:proofErr w:type="spellStart"/>
      <w:r w:rsidRPr="00130D3C">
        <w:rPr>
          <w:i/>
          <w:iCs/>
        </w:rPr>
        <w:t>uncinatus</w:t>
      </w:r>
      <w:proofErr w:type="spellEnd"/>
      <w:r w:rsidR="00482870">
        <w:t>;</w:t>
      </w:r>
      <w:r>
        <w:t xml:space="preserve"> Powrie (</w:t>
      </w:r>
      <w:proofErr w:type="spellStart"/>
      <w:r>
        <w:t>ex Egerton</w:t>
      </w:r>
      <w:proofErr w:type="spellEnd"/>
      <w:r>
        <w:t>, MS);</w:t>
      </w:r>
      <w:r w:rsidR="00505A0C">
        <w:t xml:space="preserve"> </w:t>
      </w:r>
      <w:r>
        <w:t xml:space="preserve">Woodward </w:t>
      </w:r>
      <w:r w:rsidR="00A635FA">
        <w:t>and</w:t>
      </w:r>
      <w:r>
        <w:t xml:space="preserve"> Sherborn, p. 37.</w:t>
      </w:r>
    </w:p>
    <w:p w14:paraId="04D2148F" w14:textId="085AA1C9" w:rsidR="004009B1" w:rsidRDefault="004009B1" w:rsidP="00130D3C">
      <w:pPr>
        <w:jc w:val="center"/>
      </w:pPr>
      <w:r>
        <w:t xml:space="preserve">1891 </w:t>
      </w:r>
      <w:proofErr w:type="spellStart"/>
      <w:r w:rsidRPr="00130D3C">
        <w:rPr>
          <w:i/>
          <w:iCs/>
        </w:rPr>
        <w:t>Climatius</w:t>
      </w:r>
      <w:proofErr w:type="spellEnd"/>
      <w:r w:rsidRPr="00130D3C">
        <w:rPr>
          <w:i/>
          <w:iCs/>
        </w:rPr>
        <w:t xml:space="preserve"> </w:t>
      </w:r>
      <w:proofErr w:type="spellStart"/>
      <w:r w:rsidRPr="00130D3C">
        <w:rPr>
          <w:i/>
          <w:iCs/>
        </w:rPr>
        <w:t>uncinatus</w:t>
      </w:r>
      <w:proofErr w:type="spellEnd"/>
      <w:r w:rsidR="00482870">
        <w:t>;</w:t>
      </w:r>
      <w:r>
        <w:t xml:space="preserve"> Powrie; Woodward, p. 30.</w:t>
      </w:r>
    </w:p>
    <w:p w14:paraId="0A6B69A0" w14:textId="6A18CE54" w:rsidR="004009B1" w:rsidRDefault="004009B1" w:rsidP="00130D3C">
      <w:pPr>
        <w:jc w:val="center"/>
      </w:pPr>
      <w:r>
        <w:t xml:space="preserve">1892 </w:t>
      </w:r>
      <w:proofErr w:type="spellStart"/>
      <w:r w:rsidRPr="00130D3C">
        <w:rPr>
          <w:i/>
          <w:iCs/>
        </w:rPr>
        <w:t>Climatius</w:t>
      </w:r>
      <w:proofErr w:type="spellEnd"/>
      <w:r w:rsidRPr="00130D3C">
        <w:rPr>
          <w:i/>
          <w:iCs/>
        </w:rPr>
        <w:t xml:space="preserve"> </w:t>
      </w:r>
      <w:proofErr w:type="spellStart"/>
      <w:r w:rsidRPr="00130D3C">
        <w:rPr>
          <w:i/>
          <w:iCs/>
        </w:rPr>
        <w:t>uncinatus</w:t>
      </w:r>
      <w:proofErr w:type="spellEnd"/>
      <w:r w:rsidR="00482870">
        <w:t>;</w:t>
      </w:r>
      <w:r>
        <w:t xml:space="preserve"> Powrie; </w:t>
      </w:r>
      <w:proofErr w:type="spellStart"/>
      <w:r>
        <w:t>Traquair</w:t>
      </w:r>
      <w:proofErr w:type="spellEnd"/>
      <w:r>
        <w:t>, p. 3.</w:t>
      </w:r>
    </w:p>
    <w:p w14:paraId="55BFD107" w14:textId="15C6F527" w:rsidR="004009B1" w:rsidRDefault="004009B1" w:rsidP="00130D3C">
      <w:pPr>
        <w:jc w:val="center"/>
      </w:pPr>
      <w:r>
        <w:t xml:space="preserve">1907 </w:t>
      </w:r>
      <w:proofErr w:type="spellStart"/>
      <w:r w:rsidRPr="00130D3C">
        <w:rPr>
          <w:i/>
          <w:iCs/>
        </w:rPr>
        <w:t>Climatius</w:t>
      </w:r>
      <w:proofErr w:type="spellEnd"/>
      <w:r w:rsidRPr="00130D3C">
        <w:rPr>
          <w:i/>
          <w:iCs/>
        </w:rPr>
        <w:t xml:space="preserve"> </w:t>
      </w:r>
      <w:proofErr w:type="spellStart"/>
      <w:r w:rsidRPr="00130D3C">
        <w:rPr>
          <w:i/>
          <w:iCs/>
        </w:rPr>
        <w:t>uncinatus</w:t>
      </w:r>
      <w:proofErr w:type="spellEnd"/>
      <w:r>
        <w:t>; Dean, p</w:t>
      </w:r>
      <w:r w:rsidR="00E24558">
        <w:t>.</w:t>
      </w:r>
      <w:r>
        <w:t xml:space="preserve"> 216, 222, ﬁg. 24.</w:t>
      </w:r>
    </w:p>
    <w:p w14:paraId="3AC2D255" w14:textId="146F08F2" w:rsidR="004009B1" w:rsidRDefault="004009B1" w:rsidP="00130D3C">
      <w:pPr>
        <w:jc w:val="center"/>
      </w:pPr>
      <w:r>
        <w:t xml:space="preserve">1912 </w:t>
      </w:r>
      <w:proofErr w:type="spellStart"/>
      <w:r w:rsidRPr="00130D3C">
        <w:rPr>
          <w:i/>
          <w:iCs/>
        </w:rPr>
        <w:t>Climatius</w:t>
      </w:r>
      <w:proofErr w:type="spellEnd"/>
      <w:r w:rsidRPr="00130D3C">
        <w:rPr>
          <w:i/>
          <w:iCs/>
        </w:rPr>
        <w:t xml:space="preserve"> </w:t>
      </w:r>
      <w:proofErr w:type="spellStart"/>
      <w:r w:rsidRPr="00130D3C">
        <w:rPr>
          <w:i/>
          <w:iCs/>
        </w:rPr>
        <w:t>uncinatus</w:t>
      </w:r>
      <w:proofErr w:type="spellEnd"/>
      <w:r w:rsidR="00482870">
        <w:t>;</w:t>
      </w:r>
      <w:r>
        <w:t xml:space="preserve"> Pow</w:t>
      </w:r>
      <w:r w:rsidR="00F47C74">
        <w:t>rie</w:t>
      </w:r>
      <w:r>
        <w:t>; Hickling, table.</w:t>
      </w:r>
    </w:p>
    <w:p w14:paraId="67201459" w14:textId="7E549EF3" w:rsidR="004009B1" w:rsidRDefault="004009B1" w:rsidP="00130D3C">
      <w:pPr>
        <w:jc w:val="center"/>
      </w:pPr>
      <w:r>
        <w:t xml:space="preserve">1973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t>; Miles, p. 140, pl. 7</w:t>
      </w:r>
      <w:r w:rsidR="00505A0C">
        <w:t xml:space="preserve"> </w:t>
      </w:r>
      <w:r>
        <w:t>ﬁg. 33.</w:t>
      </w:r>
    </w:p>
    <w:p w14:paraId="6CE3888A" w14:textId="7E7BEFA1" w:rsidR="004009B1" w:rsidRDefault="004009B1" w:rsidP="00130D3C">
      <w:pPr>
        <w:jc w:val="center"/>
      </w:pPr>
      <w:r>
        <w:lastRenderedPageBreak/>
        <w:t xml:space="preserve">1976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rsidR="00482870">
        <w:t>;</w:t>
      </w:r>
      <w:r>
        <w:t xml:space="preserve"> Powrie </w:t>
      </w:r>
      <w:r w:rsidR="00B5510A">
        <w:t>(</w:t>
      </w:r>
      <w:proofErr w:type="spellStart"/>
      <w:r>
        <w:t>ex Egerton</w:t>
      </w:r>
      <w:proofErr w:type="spellEnd"/>
      <w:r w:rsidR="00505A0C">
        <w:t xml:space="preserve"> </w:t>
      </w:r>
      <w:r>
        <w:t>MS); Paton, p. 5.</w:t>
      </w:r>
    </w:p>
    <w:p w14:paraId="6360CAA7" w14:textId="13B1F96E" w:rsidR="004009B1" w:rsidRDefault="004009B1" w:rsidP="00130D3C">
      <w:pPr>
        <w:jc w:val="center"/>
      </w:pPr>
      <w:r>
        <w:t xml:space="preserve">1979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rsidR="00482870">
        <w:t>;</w:t>
      </w:r>
      <w:r>
        <w:t xml:space="preserve"> Powrie; Denison,</w:t>
      </w:r>
      <w:r w:rsidR="00505A0C">
        <w:t xml:space="preserve"> </w:t>
      </w:r>
      <w:r>
        <w:t>p. 30, ﬁg. 14F.</w:t>
      </w:r>
    </w:p>
    <w:p w14:paraId="4AECB3C2" w14:textId="0D4FEB33" w:rsidR="004009B1" w:rsidRDefault="004009B1" w:rsidP="00130D3C">
      <w:pPr>
        <w:jc w:val="center"/>
      </w:pPr>
      <w:r>
        <w:t xml:space="preserve">1999a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rsidR="00482870">
        <w:t>;</w:t>
      </w:r>
      <w:r>
        <w:t xml:space="preserve"> Powrie; </w:t>
      </w:r>
      <w:proofErr w:type="spellStart"/>
      <w:r>
        <w:t>Dineley</w:t>
      </w:r>
      <w:proofErr w:type="spellEnd"/>
      <w:r>
        <w:t>,</w:t>
      </w:r>
      <w:r w:rsidR="00505A0C">
        <w:t xml:space="preserve"> </w:t>
      </w:r>
      <w:r>
        <w:t>p</w:t>
      </w:r>
      <w:r w:rsidR="008C14CB">
        <w:t>.</w:t>
      </w:r>
      <w:r>
        <w:t xml:space="preserve"> 150, 154.</w:t>
      </w:r>
    </w:p>
    <w:p w14:paraId="53DF7626" w14:textId="2807AF49" w:rsidR="004009B1" w:rsidRDefault="004009B1" w:rsidP="00130D3C">
      <w:pPr>
        <w:jc w:val="center"/>
      </w:pPr>
      <w:r>
        <w:t xml:space="preserve">2007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rsidR="00482870">
        <w:t>;</w:t>
      </w:r>
      <w:r>
        <w:t xml:space="preserve"> Powrie; Burrow,</w:t>
      </w:r>
      <w:r w:rsidR="00505A0C">
        <w:t xml:space="preserve"> </w:t>
      </w:r>
      <w:r>
        <w:t>p. 827.</w:t>
      </w:r>
    </w:p>
    <w:p w14:paraId="105AAD83" w14:textId="56AD962B" w:rsidR="004009B1" w:rsidRDefault="004009B1" w:rsidP="00130D3C">
      <w:pPr>
        <w:jc w:val="center"/>
      </w:pPr>
      <w:r>
        <w:t xml:space="preserve">2008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rsidR="00482870">
        <w:t>;</w:t>
      </w:r>
      <w:r>
        <w:t xml:space="preserve"> Powrie; Burrow</w:t>
      </w:r>
      <w:r w:rsidR="00505A0C">
        <w:t xml:space="preserve"> </w:t>
      </w:r>
      <w:r>
        <w:t>et al., p. 907.</w:t>
      </w:r>
    </w:p>
    <w:p w14:paraId="20B2B8B1" w14:textId="6FF681A5" w:rsidR="004009B1" w:rsidRDefault="004009B1" w:rsidP="00130D3C">
      <w:pPr>
        <w:jc w:val="center"/>
      </w:pPr>
      <w:r>
        <w:t xml:space="preserve">2010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rsidR="00482870">
        <w:t>;</w:t>
      </w:r>
      <w:r>
        <w:t xml:space="preserve"> Powrie </w:t>
      </w:r>
      <w:r w:rsidR="00AB5A82">
        <w:t>(</w:t>
      </w:r>
      <w:proofErr w:type="spellStart"/>
      <w:r>
        <w:t>ex Egerton</w:t>
      </w:r>
      <w:proofErr w:type="spellEnd"/>
      <w:r w:rsidR="00505A0C">
        <w:t xml:space="preserve"> </w:t>
      </w:r>
      <w:r>
        <w:t xml:space="preserve">MS); Newman </w:t>
      </w:r>
      <w:r w:rsidR="00EF5E5F">
        <w:t>and</w:t>
      </w:r>
      <w:r>
        <w:t xml:space="preserve"> Davidson, pp 22–24, ﬁg</w:t>
      </w:r>
      <w:r w:rsidR="00506A2A">
        <w:t>s</w:t>
      </w:r>
      <w:r>
        <w:t xml:space="preserve"> 28–30.</w:t>
      </w:r>
    </w:p>
    <w:p w14:paraId="33834B84" w14:textId="4D190F43" w:rsidR="004009B1" w:rsidRDefault="004009B1" w:rsidP="00130D3C">
      <w:pPr>
        <w:jc w:val="center"/>
      </w:pPr>
      <w:r>
        <w:t>2012 ‘</w:t>
      </w:r>
      <w:proofErr w:type="spellStart"/>
      <w:r w:rsidRPr="00130D3C">
        <w:rPr>
          <w:i/>
          <w:iCs/>
        </w:rPr>
        <w:t>Climatius</w:t>
      </w:r>
      <w:proofErr w:type="spellEnd"/>
      <w:r w:rsidRPr="00130D3C">
        <w:rPr>
          <w:i/>
          <w:iCs/>
        </w:rPr>
        <w:t>’</w:t>
      </w:r>
      <w:r>
        <w:t xml:space="preserve"> </w:t>
      </w:r>
      <w:proofErr w:type="spellStart"/>
      <w:r w:rsidRPr="00130D3C">
        <w:rPr>
          <w:i/>
          <w:iCs/>
        </w:rPr>
        <w:t>uncinatus</w:t>
      </w:r>
      <w:proofErr w:type="spellEnd"/>
      <w:r w:rsidR="00482870">
        <w:t>;</w:t>
      </w:r>
      <w:r>
        <w:t xml:space="preserve"> Powrie; Newman et al.,</w:t>
      </w:r>
      <w:r w:rsidR="00505A0C">
        <w:t xml:space="preserve"> </w:t>
      </w:r>
      <w:r>
        <w:t>p. 758.</w:t>
      </w:r>
    </w:p>
    <w:p w14:paraId="4EF4E55D" w14:textId="6D0D74FA" w:rsidR="004009B1" w:rsidRDefault="004009B1" w:rsidP="00130D3C">
      <w:pPr>
        <w:jc w:val="center"/>
      </w:pPr>
      <w:r>
        <w:t xml:space="preserve">2015 </w:t>
      </w:r>
      <w:r w:rsidRPr="00130D3C">
        <w:rPr>
          <w:i/>
          <w:iCs/>
        </w:rPr>
        <w:t xml:space="preserve">C. </w:t>
      </w:r>
      <w:proofErr w:type="spellStart"/>
      <w:r w:rsidRPr="00130D3C">
        <w:rPr>
          <w:i/>
          <w:iCs/>
        </w:rPr>
        <w:t>uncinatus</w:t>
      </w:r>
      <w:proofErr w:type="spellEnd"/>
      <w:r>
        <w:t>; Burrow et al.,</w:t>
      </w:r>
      <w:r w:rsidR="00550E79">
        <w:t xml:space="preserve"> </w:t>
      </w:r>
      <w:r>
        <w:t>p.3.</w:t>
      </w:r>
    </w:p>
    <w:p w14:paraId="240FF588" w14:textId="77777777" w:rsidR="004009B1" w:rsidRDefault="004009B1" w:rsidP="00130D3C">
      <w:pPr>
        <w:jc w:val="center"/>
      </w:pPr>
      <w:r>
        <w:t xml:space="preserve">2016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t xml:space="preserve">; </w:t>
      </w:r>
      <w:proofErr w:type="spellStart"/>
      <w:r>
        <w:t>Jerve</w:t>
      </w:r>
      <w:proofErr w:type="spellEnd"/>
      <w:r>
        <w:t xml:space="preserve"> et al., p. 21.</w:t>
      </w:r>
    </w:p>
    <w:p w14:paraId="3FC11BBF" w14:textId="363ECD72" w:rsidR="004009B1" w:rsidRDefault="004009B1" w:rsidP="00130D3C">
      <w:pPr>
        <w:jc w:val="center"/>
      </w:pPr>
      <w:r>
        <w:t xml:space="preserve">2017 </w:t>
      </w:r>
      <w:proofErr w:type="spellStart"/>
      <w:r w:rsidRPr="00130D3C">
        <w:rPr>
          <w:i/>
          <w:iCs/>
        </w:rPr>
        <w:t>Vernicomacanthus</w:t>
      </w:r>
      <w:proofErr w:type="spellEnd"/>
      <w:r w:rsidRPr="00130D3C">
        <w:rPr>
          <w:i/>
          <w:iCs/>
        </w:rPr>
        <w:t xml:space="preserve"> </w:t>
      </w:r>
      <w:proofErr w:type="spellStart"/>
      <w:r w:rsidRPr="00130D3C">
        <w:rPr>
          <w:i/>
          <w:iCs/>
        </w:rPr>
        <w:t>uncinatus</w:t>
      </w:r>
      <w:proofErr w:type="spellEnd"/>
      <w:r>
        <w:t xml:space="preserve">; </w:t>
      </w:r>
      <w:proofErr w:type="spellStart"/>
      <w:r>
        <w:t>Maisey</w:t>
      </w:r>
      <w:proofErr w:type="spellEnd"/>
      <w:r>
        <w:t xml:space="preserve"> et al., pp 11</w:t>
      </w:r>
      <w:r w:rsidR="002E253C">
        <w:t>–</w:t>
      </w:r>
      <w:r>
        <w:t>13, ﬁg. 7B.</w:t>
      </w:r>
    </w:p>
    <w:p w14:paraId="62C1C06A" w14:textId="77777777" w:rsidR="00505A0C" w:rsidRDefault="00505A0C" w:rsidP="004009B1"/>
    <w:p w14:paraId="573B9C14" w14:textId="26EB16B0" w:rsidR="004009B1" w:rsidRDefault="004009B1" w:rsidP="004009B1">
      <w:r>
        <w:t>Material. NHMUK PV P 1342a, NHMUK PV P 6960, NHMUK</w:t>
      </w:r>
      <w:r w:rsidR="00505A0C">
        <w:t xml:space="preserve"> </w:t>
      </w:r>
      <w:r>
        <w:t>PV P 1342, NMS G.1891.92.208 (lectotype), NHMUK PV P</w:t>
      </w:r>
      <w:r w:rsidR="00505A0C">
        <w:t xml:space="preserve"> </w:t>
      </w:r>
      <w:r>
        <w:t>6968, NMS G.2001.7.4, counterparts NMS G.1891.92.209 and</w:t>
      </w:r>
    </w:p>
    <w:p w14:paraId="2F74FDCC" w14:textId="2533B93E" w:rsidR="004009B1" w:rsidRDefault="004009B1" w:rsidP="004009B1">
      <w:r>
        <w:t>DUNMG Kinnaird 82, counterparts NMS G.1891.92.210 and</w:t>
      </w:r>
      <w:r w:rsidR="00505A0C">
        <w:t xml:space="preserve"> </w:t>
      </w:r>
      <w:r>
        <w:t>NH Mitchell 57, NMS</w:t>
      </w:r>
      <w:r w:rsidR="00505A0C">
        <w:t xml:space="preserve"> </w:t>
      </w:r>
      <w:r>
        <w:t>G.1885.54.69, NMS G.2018.18.1.</w:t>
      </w:r>
    </w:p>
    <w:p w14:paraId="68CA8D1E" w14:textId="77777777" w:rsidR="00505A0C" w:rsidRDefault="00505A0C" w:rsidP="004009B1"/>
    <w:p w14:paraId="0DBF90DB" w14:textId="2E6CAFD4" w:rsidR="004009B1" w:rsidRDefault="004009B1" w:rsidP="004009B1">
      <w:r>
        <w:t xml:space="preserve">Occurrence. Fossils of </w:t>
      </w:r>
      <w:r w:rsidRPr="00130D3C">
        <w:rPr>
          <w:i/>
          <w:iCs/>
        </w:rPr>
        <w:t xml:space="preserve">V. </w:t>
      </w:r>
      <w:proofErr w:type="spellStart"/>
      <w:r w:rsidRPr="00130D3C">
        <w:rPr>
          <w:i/>
          <w:iCs/>
        </w:rPr>
        <w:t>uncinatus</w:t>
      </w:r>
      <w:proofErr w:type="spellEnd"/>
      <w:r>
        <w:t xml:space="preserve"> are known from </w:t>
      </w:r>
      <w:proofErr w:type="spellStart"/>
      <w:r>
        <w:t>Tillywhandland</w:t>
      </w:r>
      <w:proofErr w:type="spellEnd"/>
      <w:r>
        <w:t xml:space="preserve"> (‘Turin Hill’) and </w:t>
      </w:r>
      <w:proofErr w:type="spellStart"/>
      <w:r>
        <w:t>Canterland</w:t>
      </w:r>
      <w:proofErr w:type="spellEnd"/>
      <w:r>
        <w:t xml:space="preserve"> Den (NHMUK PV P 6967, a</w:t>
      </w:r>
      <w:r w:rsidR="00505A0C">
        <w:t xml:space="preserve"> </w:t>
      </w:r>
      <w:r>
        <w:t xml:space="preserve">pectoral ﬁn spine) near Forfar, and </w:t>
      </w:r>
      <w:proofErr w:type="spellStart"/>
      <w:r>
        <w:t>Balruddery</w:t>
      </w:r>
      <w:proofErr w:type="spellEnd"/>
      <w:r>
        <w:t xml:space="preserve"> Den, near Dundee, all in Angus, UK. The horizon from which the fossils come</w:t>
      </w:r>
      <w:r w:rsidR="00505A0C">
        <w:t xml:space="preserve"> </w:t>
      </w:r>
      <w:r>
        <w:t xml:space="preserve">is the </w:t>
      </w:r>
      <w:proofErr w:type="spellStart"/>
      <w:r>
        <w:t>Arbuthnott</w:t>
      </w:r>
      <w:proofErr w:type="spellEnd"/>
      <w:r>
        <w:t>–</w:t>
      </w:r>
      <w:proofErr w:type="spellStart"/>
      <w:r>
        <w:t>Garvock</w:t>
      </w:r>
      <w:proofErr w:type="spellEnd"/>
      <w:r>
        <w:t xml:space="preserve"> Group, Dundee Flagstone Formation,</w:t>
      </w:r>
      <w:r w:rsidR="00505A0C">
        <w:t xml:space="preserve"> </w:t>
      </w:r>
      <w:r>
        <w:t>Lower Old Red Sandstone</w:t>
      </w:r>
      <w:r w:rsidR="00852B92">
        <w:t>.</w:t>
      </w:r>
    </w:p>
    <w:p w14:paraId="336BADA7" w14:textId="77777777" w:rsidR="00505A0C" w:rsidRDefault="00505A0C" w:rsidP="004009B1"/>
    <w:p w14:paraId="3C997C51" w14:textId="5A34EAEC" w:rsidR="00F04AF4" w:rsidRPr="00213B70" w:rsidRDefault="004009B1">
      <w:r>
        <w:t>Emended diagnosis. As for genus</w:t>
      </w:r>
      <w:r w:rsidR="00213B70">
        <w:t>.</w:t>
      </w:r>
      <w:r>
        <w:br/>
      </w:r>
    </w:p>
    <w:p w14:paraId="4AA30A05" w14:textId="3A9453F4" w:rsidR="0049172D" w:rsidRPr="0004628E" w:rsidRDefault="0058622F">
      <w:pPr>
        <w:rPr>
          <w:b/>
          <w:bCs/>
          <w:sz w:val="28"/>
          <w:szCs w:val="28"/>
        </w:rPr>
      </w:pPr>
      <w:r w:rsidRPr="0004628E">
        <w:rPr>
          <w:b/>
          <w:bCs/>
          <w:sz w:val="28"/>
          <w:szCs w:val="28"/>
        </w:rPr>
        <w:t>10</w:t>
      </w:r>
      <w:r w:rsidR="0049172D" w:rsidRPr="0004628E">
        <w:rPr>
          <w:b/>
          <w:bCs/>
          <w:sz w:val="28"/>
          <w:szCs w:val="28"/>
        </w:rPr>
        <w:t xml:space="preserve"> Supplementary information</w:t>
      </w:r>
    </w:p>
    <w:p w14:paraId="5578F913" w14:textId="0B02906D" w:rsidR="00736A9A" w:rsidRDefault="00736A9A" w:rsidP="00736A9A">
      <w:pPr>
        <w:pStyle w:val="ListParagraph"/>
        <w:numPr>
          <w:ilvl w:val="0"/>
          <w:numId w:val="6"/>
        </w:numPr>
      </w:pPr>
      <w:r w:rsidRPr="00731991">
        <w:rPr>
          <w:b/>
          <w:bCs/>
        </w:rPr>
        <w:t>All data and code generated, in both raw and clean versions, should be submitted as supplementary information along with the manuscript at initial submission.</w:t>
      </w:r>
      <w:r>
        <w:t xml:space="preserve"> These should also be deposited with an open access hosting platform for perpetuity, such as the OSF or GitHub.</w:t>
      </w:r>
    </w:p>
    <w:p w14:paraId="58FB6D5D" w14:textId="3768EB36" w:rsidR="00F65AA0" w:rsidRDefault="00F65AA0" w:rsidP="00736A9A">
      <w:pPr>
        <w:pStyle w:val="ListParagraph"/>
        <w:numPr>
          <w:ilvl w:val="0"/>
          <w:numId w:val="6"/>
        </w:numPr>
      </w:pPr>
      <w:r>
        <w:t>Data can also be published on a specialist open access platform (particularly if the file sizes are too large to accompany the article), for example</w:t>
      </w:r>
      <w:r w:rsidR="00EB708B">
        <w:t>,</w:t>
      </w:r>
      <w:r>
        <w:t xml:space="preserve"> </w:t>
      </w:r>
      <w:proofErr w:type="spellStart"/>
      <w:r>
        <w:t>MorphoSource</w:t>
      </w:r>
      <w:proofErr w:type="spellEnd"/>
      <w:r>
        <w:t xml:space="preserve"> for </w:t>
      </w:r>
      <w:r w:rsidR="00505A0C">
        <w:t xml:space="preserve">3D </w:t>
      </w:r>
      <w:r>
        <w:t>models</w:t>
      </w:r>
      <w:r w:rsidR="00247736">
        <w:t xml:space="preserve"> and </w:t>
      </w:r>
      <w:r w:rsidR="00505A0C">
        <w:t>tomographic data</w:t>
      </w:r>
      <w:r>
        <w:t xml:space="preserve">, </w:t>
      </w:r>
      <w:proofErr w:type="spellStart"/>
      <w:r>
        <w:t>MorphoBank</w:t>
      </w:r>
      <w:proofErr w:type="spellEnd"/>
      <w:r>
        <w:t xml:space="preserve"> for phylogenetic data, GenBank for sequence</w:t>
      </w:r>
      <w:r w:rsidR="007D118F">
        <w:t xml:space="preserve"> data</w:t>
      </w:r>
      <w:r>
        <w:t xml:space="preserve">, </w:t>
      </w:r>
      <w:r w:rsidR="00247736">
        <w:t>etc.</w:t>
      </w:r>
    </w:p>
    <w:p w14:paraId="11684855" w14:textId="4F38199C" w:rsidR="00247736" w:rsidRDefault="00247736" w:rsidP="00736A9A">
      <w:pPr>
        <w:pStyle w:val="ListParagraph"/>
        <w:numPr>
          <w:ilvl w:val="0"/>
          <w:numId w:val="6"/>
        </w:numPr>
      </w:pPr>
      <w:r>
        <w:t>A data and code availability statement must be included at the end of your manuscript detailing where (between supplementary information and external repositories) all data and code are freely available.</w:t>
      </w:r>
    </w:p>
    <w:p w14:paraId="1CF82C51" w14:textId="7687F480" w:rsidR="00736A9A" w:rsidRDefault="00736A9A" w:rsidP="00736A9A">
      <w:pPr>
        <w:pStyle w:val="ListParagraph"/>
        <w:numPr>
          <w:ilvl w:val="0"/>
          <w:numId w:val="6"/>
        </w:numPr>
      </w:pPr>
      <w:r>
        <w:t>If data has been used from other published studies or databases these must be cited, either within the manuscript if they are few, or included within the supplementary information.</w:t>
      </w:r>
      <w:r w:rsidR="00644A1B">
        <w:t xml:space="preserve"> We strongly encourage citing these data sources in the manuscript </w:t>
      </w:r>
      <w:r w:rsidR="008A3D55">
        <w:t xml:space="preserve">directly; to facilitate this we </w:t>
      </w:r>
      <w:r w:rsidR="00644A1B">
        <w:t>place no limits on manuscript reference lists.</w:t>
      </w:r>
    </w:p>
    <w:p w14:paraId="5931E352" w14:textId="04A068CE" w:rsidR="001C4360" w:rsidRPr="006800B7" w:rsidRDefault="001C4360" w:rsidP="00736A9A">
      <w:pPr>
        <w:pStyle w:val="ListParagraph"/>
        <w:numPr>
          <w:ilvl w:val="0"/>
          <w:numId w:val="6"/>
        </w:numPr>
      </w:pPr>
      <w:r>
        <w:t xml:space="preserve">See the </w:t>
      </w:r>
      <w:hyperlink r:id="rId29" w:history="1">
        <w:r w:rsidRPr="00B61638">
          <w:rPr>
            <w:rStyle w:val="Hyperlink"/>
          </w:rPr>
          <w:t>Code of Conduct</w:t>
        </w:r>
      </w:hyperlink>
      <w:r>
        <w:t xml:space="preserve"> for more information on supplementary information.</w:t>
      </w:r>
    </w:p>
    <w:p w14:paraId="1F7470F3" w14:textId="77777777" w:rsidR="0049172D" w:rsidRDefault="0049172D">
      <w:pPr>
        <w:rPr>
          <w:b/>
          <w:bCs/>
        </w:rPr>
      </w:pPr>
    </w:p>
    <w:p w14:paraId="017EFEDD" w14:textId="709B772B" w:rsidR="0049172D" w:rsidRPr="0004628E" w:rsidRDefault="0058622F">
      <w:pPr>
        <w:rPr>
          <w:b/>
          <w:bCs/>
          <w:sz w:val="28"/>
          <w:szCs w:val="28"/>
        </w:rPr>
      </w:pPr>
      <w:r w:rsidRPr="0004628E">
        <w:rPr>
          <w:b/>
          <w:bCs/>
          <w:sz w:val="28"/>
          <w:szCs w:val="28"/>
        </w:rPr>
        <w:t>11</w:t>
      </w:r>
      <w:r w:rsidR="0049172D" w:rsidRPr="0004628E">
        <w:rPr>
          <w:b/>
          <w:bCs/>
          <w:sz w:val="28"/>
          <w:szCs w:val="28"/>
        </w:rPr>
        <w:t xml:space="preserve"> References</w:t>
      </w:r>
    </w:p>
    <w:p w14:paraId="7FFADC2D" w14:textId="6FCD36BB" w:rsidR="005F6D0A" w:rsidRDefault="003F0D52" w:rsidP="005F6D0A">
      <w:pPr>
        <w:pStyle w:val="ListParagraph"/>
        <w:numPr>
          <w:ilvl w:val="0"/>
          <w:numId w:val="12"/>
        </w:numPr>
      </w:pPr>
      <w:r>
        <w:t>References should be formatted following the below examples, and all DOIs provided where possible.</w:t>
      </w:r>
    </w:p>
    <w:p w14:paraId="3CDE1939" w14:textId="3E4BE0C6" w:rsidR="005F6D0A" w:rsidRDefault="005F6D0A" w:rsidP="003F0D52">
      <w:pPr>
        <w:pStyle w:val="ListParagraph"/>
        <w:numPr>
          <w:ilvl w:val="1"/>
          <w:numId w:val="12"/>
        </w:numPr>
      </w:pPr>
      <w:r w:rsidRPr="005F6D0A">
        <w:t>Journal article:</w:t>
      </w:r>
      <w:r>
        <w:t xml:space="preserve"> </w:t>
      </w:r>
      <w:r w:rsidRPr="005F6D0A">
        <w:t xml:space="preserve">Palaeontologist, A.B., Archaeologist, C.D. and Geologist, E.F. 2000. This is an example reference. </w:t>
      </w:r>
      <w:r w:rsidRPr="006478A5">
        <w:rPr>
          <w:i/>
          <w:iCs/>
        </w:rPr>
        <w:t>The Journal of Examples</w:t>
      </w:r>
      <w:r w:rsidRPr="005F6D0A">
        <w:t xml:space="preserve"> 1:2, 1–20. DOI.</w:t>
      </w:r>
    </w:p>
    <w:p w14:paraId="13AB1F81" w14:textId="77777777" w:rsidR="005F6D0A" w:rsidRDefault="005F6D0A" w:rsidP="003F0D52">
      <w:pPr>
        <w:pStyle w:val="ListParagraph"/>
        <w:numPr>
          <w:ilvl w:val="1"/>
          <w:numId w:val="12"/>
        </w:numPr>
      </w:pPr>
      <w:r w:rsidRPr="005F6D0A">
        <w:lastRenderedPageBreak/>
        <w:t>Book chapter:</w:t>
      </w:r>
      <w:r>
        <w:t xml:space="preserve"> </w:t>
      </w:r>
      <w:r w:rsidRPr="005F6D0A">
        <w:t xml:space="preserve">Palaeontologist, A.B. 2000. An example book chapter title. In: Archaeologist, C.D. and Geologist, E.F. (Eds.) </w:t>
      </w:r>
      <w:r w:rsidRPr="005F6D0A">
        <w:rPr>
          <w:i/>
          <w:iCs/>
        </w:rPr>
        <w:t>The title of the entire book</w:t>
      </w:r>
      <w:r w:rsidRPr="005F6D0A">
        <w:t>. The Book Publisher. 1–20. DOI.</w:t>
      </w:r>
    </w:p>
    <w:p w14:paraId="6F090DEC" w14:textId="77777777" w:rsidR="005F6D0A" w:rsidRDefault="005F6D0A" w:rsidP="003F0D52">
      <w:pPr>
        <w:pStyle w:val="ListParagraph"/>
        <w:numPr>
          <w:ilvl w:val="1"/>
          <w:numId w:val="12"/>
        </w:numPr>
      </w:pPr>
      <w:r w:rsidRPr="005F6D0A">
        <w:t>Entire book:</w:t>
      </w:r>
      <w:r>
        <w:t xml:space="preserve"> </w:t>
      </w:r>
      <w:r w:rsidRPr="005F6D0A">
        <w:t xml:space="preserve">Palaeontologist, A.B. 2000. </w:t>
      </w:r>
      <w:r w:rsidRPr="005F6D0A">
        <w:rPr>
          <w:i/>
          <w:iCs/>
        </w:rPr>
        <w:t>An example book title</w:t>
      </w:r>
      <w:r w:rsidRPr="005F6D0A">
        <w:t>. The Book Publisher. 100 pp. DOI.</w:t>
      </w:r>
    </w:p>
    <w:p w14:paraId="663538D9" w14:textId="77777777" w:rsidR="005F6D0A" w:rsidRDefault="005F6D0A" w:rsidP="003F0D52">
      <w:pPr>
        <w:pStyle w:val="ListParagraph"/>
        <w:numPr>
          <w:ilvl w:val="1"/>
          <w:numId w:val="12"/>
        </w:numPr>
      </w:pPr>
      <w:r w:rsidRPr="005F6D0A">
        <w:t>Webpage:</w:t>
      </w:r>
      <w:r>
        <w:t xml:space="preserve"> </w:t>
      </w:r>
      <w:r w:rsidRPr="005F6D0A">
        <w:t>Palaeontologist, A.B. 2000. The title of my webpage. Accessed: 22nd August 2024. URL.</w:t>
      </w:r>
    </w:p>
    <w:p w14:paraId="0B53A667" w14:textId="0EE2AF43" w:rsidR="0049172D" w:rsidRDefault="005F6D0A" w:rsidP="003F0D52">
      <w:pPr>
        <w:pStyle w:val="ListParagraph"/>
        <w:numPr>
          <w:ilvl w:val="1"/>
          <w:numId w:val="12"/>
        </w:numPr>
      </w:pPr>
      <w:r w:rsidRPr="005F6D0A">
        <w:t>Newspaper article:</w:t>
      </w:r>
      <w:r>
        <w:t xml:space="preserve"> </w:t>
      </w:r>
      <w:r w:rsidRPr="005F6D0A">
        <w:t xml:space="preserve">Palaeontologist, A.B. 2000. The title of my newspaper article. </w:t>
      </w:r>
      <w:r w:rsidRPr="005F6D0A">
        <w:rPr>
          <w:i/>
          <w:iCs/>
        </w:rPr>
        <w:t>The Example Newspaper</w:t>
      </w:r>
      <w:r w:rsidRPr="005F6D0A">
        <w:t>. Accessed: 22nd August 2024. URL.</w:t>
      </w:r>
    </w:p>
    <w:p w14:paraId="46EBB0EF" w14:textId="0738ADC7" w:rsidR="000E1081" w:rsidRDefault="000E1081" w:rsidP="00F16330">
      <w:pPr>
        <w:pStyle w:val="ListParagraph"/>
        <w:numPr>
          <w:ilvl w:val="0"/>
          <w:numId w:val="12"/>
        </w:numPr>
      </w:pPr>
      <w:r>
        <w:t xml:space="preserve">Page numbers in the reference list should be separated by an </w:t>
      </w:r>
      <w:proofErr w:type="spellStart"/>
      <w:r>
        <w:t>en</w:t>
      </w:r>
      <w:proofErr w:type="spellEnd"/>
      <w:r>
        <w:t xml:space="preserve">-dash not a hyphen (Alt+0150 Windows, </w:t>
      </w:r>
      <w:proofErr w:type="spellStart"/>
      <w:r>
        <w:t>option+hyphen</w:t>
      </w:r>
      <w:proofErr w:type="spellEnd"/>
      <w:r>
        <w:t xml:space="preserve"> Mac).</w:t>
      </w:r>
    </w:p>
    <w:p w14:paraId="169A563D" w14:textId="7C73AE21" w:rsidR="0096688F" w:rsidRDefault="00F16330" w:rsidP="00F16330">
      <w:pPr>
        <w:pStyle w:val="ListParagraph"/>
        <w:numPr>
          <w:ilvl w:val="0"/>
          <w:numId w:val="12"/>
        </w:numPr>
      </w:pPr>
      <w:r>
        <w:t>References should be cited in the text in chronological order, using ‘</w:t>
      </w:r>
      <w:r w:rsidRPr="00F654E7">
        <w:t>et al.’</w:t>
      </w:r>
      <w:r>
        <w:t xml:space="preserve"> if there are more than two authors</w:t>
      </w:r>
      <w:r w:rsidR="00E0754F">
        <w:t>. Different author references should be</w:t>
      </w:r>
      <w:r w:rsidR="0096688F">
        <w:t xml:space="preserve"> separated by a semicolon</w:t>
      </w:r>
      <w:r w:rsidR="00E0754F">
        <w:t>, and the years separated by a comma if the author is identical</w:t>
      </w:r>
      <w:r>
        <w:t xml:space="preserve">. </w:t>
      </w:r>
      <w:r w:rsidR="0096688F">
        <w:t>For example, (</w:t>
      </w:r>
      <w:r w:rsidR="0096688F" w:rsidRPr="005F6D0A">
        <w:t>Palaeontologist</w:t>
      </w:r>
      <w:r w:rsidR="0096688F">
        <w:t>, 2000, 2001</w:t>
      </w:r>
      <w:r w:rsidR="001956B3">
        <w:t>, 2011</w:t>
      </w:r>
      <w:r w:rsidR="0096688F">
        <w:t>; Geologist et al., 2010).</w:t>
      </w:r>
    </w:p>
    <w:p w14:paraId="7334B17D" w14:textId="5D8BB261" w:rsidR="00F16330" w:rsidRPr="005F6D0A" w:rsidRDefault="00F16330" w:rsidP="00F16330">
      <w:pPr>
        <w:pStyle w:val="ListParagraph"/>
        <w:numPr>
          <w:ilvl w:val="0"/>
          <w:numId w:val="12"/>
        </w:numPr>
      </w:pPr>
      <w:r>
        <w:t>References should be presented in the ‘References’ section at the end of the manuscript in</w:t>
      </w:r>
      <w:r w:rsidR="0025590F">
        <w:t xml:space="preserve"> alphabetical order, then</w:t>
      </w:r>
      <w:r>
        <w:t xml:space="preserve"> chronological</w:t>
      </w:r>
      <w:r w:rsidR="0025590F">
        <w:t>ly for references with the same authors</w:t>
      </w:r>
      <w:r>
        <w:t>.</w:t>
      </w:r>
      <w:r w:rsidR="0025590F">
        <w:t xml:space="preserve"> If more than one reference has the same authors and year (including </w:t>
      </w:r>
      <w:r w:rsidR="00E73AD5">
        <w:t>as ‘Name et al</w:t>
      </w:r>
      <w:r w:rsidR="00851714">
        <w:t>.</w:t>
      </w:r>
      <w:r w:rsidR="00E73AD5">
        <w:t>’), they should be labelled with a letter following the year (e.g., ‘Name et al., 2000a, 2000b) in both the text and reference list.</w:t>
      </w:r>
    </w:p>
    <w:p w14:paraId="5EFC20F6" w14:textId="77777777" w:rsidR="00736C56" w:rsidRDefault="00736C56">
      <w:pPr>
        <w:rPr>
          <w:b/>
          <w:bCs/>
        </w:rPr>
      </w:pPr>
    </w:p>
    <w:p w14:paraId="3D607348" w14:textId="2916FEBF" w:rsidR="00261326" w:rsidRPr="0004628E" w:rsidRDefault="00261326">
      <w:pPr>
        <w:rPr>
          <w:b/>
          <w:bCs/>
          <w:sz w:val="28"/>
          <w:szCs w:val="28"/>
        </w:rPr>
      </w:pPr>
      <w:r w:rsidRPr="0004628E">
        <w:rPr>
          <w:b/>
          <w:bCs/>
          <w:sz w:val="28"/>
          <w:szCs w:val="28"/>
        </w:rPr>
        <w:t>1</w:t>
      </w:r>
      <w:r w:rsidR="00BF6DB6" w:rsidRPr="0004628E">
        <w:rPr>
          <w:b/>
          <w:bCs/>
          <w:sz w:val="28"/>
          <w:szCs w:val="28"/>
        </w:rPr>
        <w:t>2</w:t>
      </w:r>
      <w:r w:rsidRPr="0004628E">
        <w:rPr>
          <w:b/>
          <w:bCs/>
          <w:sz w:val="28"/>
          <w:szCs w:val="28"/>
        </w:rPr>
        <w:t xml:space="preserve"> </w:t>
      </w:r>
      <w:r w:rsidR="00F97852" w:rsidRPr="0004628E">
        <w:rPr>
          <w:b/>
          <w:bCs/>
          <w:sz w:val="28"/>
          <w:szCs w:val="28"/>
        </w:rPr>
        <w:t xml:space="preserve">Inclusive </w:t>
      </w:r>
      <w:proofErr w:type="gramStart"/>
      <w:r w:rsidR="00F97852" w:rsidRPr="0004628E">
        <w:rPr>
          <w:b/>
          <w:bCs/>
          <w:sz w:val="28"/>
          <w:szCs w:val="28"/>
        </w:rPr>
        <w:t>language</w:t>
      </w:r>
      <w:proofErr w:type="gramEnd"/>
    </w:p>
    <w:p w14:paraId="31466E27" w14:textId="1FB1F54C" w:rsidR="005D5A35" w:rsidRDefault="005D5A35" w:rsidP="005D5A35">
      <w:pPr>
        <w:pStyle w:val="ListParagraph"/>
        <w:numPr>
          <w:ilvl w:val="0"/>
          <w:numId w:val="3"/>
        </w:numPr>
      </w:pPr>
      <w:r>
        <w:t xml:space="preserve">Avoid the use of she/her/he/him where possible; in </w:t>
      </w:r>
      <w:r w:rsidR="00170819">
        <w:t>almost all</w:t>
      </w:r>
      <w:r>
        <w:t xml:space="preserve"> cases this can be replaced with a name</w:t>
      </w:r>
      <w:r w:rsidR="00823CA6">
        <w:t>, ‘the author’,</w:t>
      </w:r>
      <w:r>
        <w:t xml:space="preserve"> or ‘they’.</w:t>
      </w:r>
    </w:p>
    <w:p w14:paraId="4BA6B259" w14:textId="59F5230A" w:rsidR="005D5A35" w:rsidRDefault="001A142B" w:rsidP="005D5A35">
      <w:pPr>
        <w:pStyle w:val="ListParagraph"/>
        <w:numPr>
          <w:ilvl w:val="0"/>
          <w:numId w:val="3"/>
        </w:numPr>
      </w:pPr>
      <w:r>
        <w:t>Every effort should be made to use the local names for key landmarks, geographical regions, etc. If there is a concern with name recognition, then the local name should be used in addition to the ‘internationalised’ name. For example,</w:t>
      </w:r>
      <w:r w:rsidR="00B85C21">
        <w:t xml:space="preserve"> in</w:t>
      </w:r>
      <w:r>
        <w:t xml:space="preserve"> referring to the mountain </w:t>
      </w:r>
      <w:r w:rsidR="00A3443B">
        <w:t>Yr Wyddfa, also known as Snowdon.</w:t>
      </w:r>
      <w:r w:rsidR="0072432C">
        <w:t xml:space="preserve"> We also welcome names given in non-roman typescripts alongside the roman-typescript name.</w:t>
      </w:r>
    </w:p>
    <w:p w14:paraId="50608BD9" w14:textId="1DC6B8C1" w:rsidR="00997F4A" w:rsidRDefault="0033054B" w:rsidP="005D5A35">
      <w:pPr>
        <w:pStyle w:val="ListParagraph"/>
        <w:numPr>
          <w:ilvl w:val="0"/>
          <w:numId w:val="3"/>
        </w:numPr>
      </w:pPr>
      <w:r>
        <w:t xml:space="preserve">Some good general resources for using inclusive language are: </w:t>
      </w:r>
      <w:hyperlink r:id="rId30" w:history="1">
        <w:r w:rsidR="00346D8C" w:rsidRPr="002F7C86">
          <w:rPr>
            <w:rStyle w:val="Hyperlink"/>
          </w:rPr>
          <w:t>https://www.diversitystyleguide.com</w:t>
        </w:r>
      </w:hyperlink>
      <w:r w:rsidR="00346D8C">
        <w:t xml:space="preserve"> </w:t>
      </w:r>
      <w:r w:rsidR="00346D8C">
        <w:br/>
      </w:r>
      <w:hyperlink r:id="rId31" w:history="1">
        <w:r w:rsidR="00346D8C" w:rsidRPr="002F7C86">
          <w:rPr>
            <w:rStyle w:val="Hyperlink"/>
          </w:rPr>
          <w:t>https://www.apa.org/about/apa/equity-diversity-inclusion/language-guidelines</w:t>
        </w:r>
      </w:hyperlink>
    </w:p>
    <w:p w14:paraId="18B9CE52" w14:textId="3A660025" w:rsidR="00346D8C" w:rsidRPr="005D5A35" w:rsidRDefault="00472B4D" w:rsidP="007E7A06">
      <w:pPr>
        <w:pStyle w:val="ListParagraph"/>
      </w:pPr>
      <w:hyperlink r:id="rId32" w:anchor="general-guidelines" w:history="1">
        <w:r w:rsidRPr="002F7C86">
          <w:rPr>
            <w:rStyle w:val="Hyperlink"/>
          </w:rPr>
          <w:t>https://www.acs.org/about/diversity/inclusivity-style-guide.html#general-guidelines</w:t>
        </w:r>
      </w:hyperlink>
      <w:r>
        <w:t xml:space="preserve"> </w:t>
      </w:r>
    </w:p>
    <w:p w14:paraId="271B3021" w14:textId="77777777" w:rsidR="00261326" w:rsidRDefault="00261326">
      <w:pPr>
        <w:rPr>
          <w:b/>
          <w:bCs/>
        </w:rPr>
      </w:pPr>
    </w:p>
    <w:p w14:paraId="29569AB8" w14:textId="0C5F3E33" w:rsidR="00866B06" w:rsidRPr="0004628E" w:rsidRDefault="00866B06">
      <w:pPr>
        <w:rPr>
          <w:b/>
          <w:bCs/>
          <w:sz w:val="28"/>
          <w:szCs w:val="28"/>
        </w:rPr>
      </w:pPr>
      <w:r w:rsidRPr="0004628E">
        <w:rPr>
          <w:b/>
          <w:bCs/>
          <w:sz w:val="28"/>
          <w:szCs w:val="28"/>
        </w:rPr>
        <w:t>1</w:t>
      </w:r>
      <w:r w:rsidR="00BF6DB6" w:rsidRPr="0004628E">
        <w:rPr>
          <w:b/>
          <w:bCs/>
          <w:sz w:val="28"/>
          <w:szCs w:val="28"/>
        </w:rPr>
        <w:t>3</w:t>
      </w:r>
      <w:r w:rsidRPr="0004628E">
        <w:rPr>
          <w:b/>
          <w:bCs/>
          <w:sz w:val="28"/>
          <w:szCs w:val="28"/>
        </w:rPr>
        <w:t xml:space="preserve"> </w:t>
      </w:r>
      <w:r w:rsidR="00261326" w:rsidRPr="0004628E">
        <w:rPr>
          <w:b/>
          <w:bCs/>
          <w:sz w:val="28"/>
          <w:szCs w:val="28"/>
        </w:rPr>
        <w:t>Specific spelling</w:t>
      </w:r>
      <w:r w:rsidR="00C8230B" w:rsidRPr="0004628E">
        <w:rPr>
          <w:b/>
          <w:bCs/>
          <w:sz w:val="28"/>
          <w:szCs w:val="28"/>
        </w:rPr>
        <w:t>, punctuation and grammar</w:t>
      </w:r>
      <w:r w:rsidR="00793CFA" w:rsidRPr="0004628E">
        <w:rPr>
          <w:b/>
          <w:bCs/>
          <w:sz w:val="28"/>
          <w:szCs w:val="28"/>
        </w:rPr>
        <w:t xml:space="preserve"> notes</w:t>
      </w:r>
    </w:p>
    <w:p w14:paraId="5E011CBB" w14:textId="77777777" w:rsidR="00411431" w:rsidRPr="00793CFA" w:rsidRDefault="00411431" w:rsidP="00793CFA">
      <w:pPr>
        <w:sectPr w:rsidR="00411431" w:rsidRPr="00793CFA" w:rsidSect="008F3884">
          <w:footerReference w:type="even" r:id="rId33"/>
          <w:footerReference w:type="default" r:id="rId34"/>
          <w:type w:val="continuous"/>
          <w:pgSz w:w="11906" w:h="16838"/>
          <w:pgMar w:top="1134" w:right="1134" w:bottom="1134" w:left="1134" w:header="709" w:footer="709" w:gutter="0"/>
          <w:cols w:space="708"/>
          <w:docGrid w:linePitch="360"/>
        </w:sectPr>
      </w:pPr>
    </w:p>
    <w:p w14:paraId="6854A5A9" w14:textId="01BA4634" w:rsidR="00AE3605" w:rsidRDefault="00AE3605" w:rsidP="00AE3605">
      <w:pPr>
        <w:pStyle w:val="ListParagraph"/>
        <w:numPr>
          <w:ilvl w:val="0"/>
          <w:numId w:val="2"/>
        </w:numPr>
      </w:pPr>
      <w:r>
        <w:t>‘</w:t>
      </w:r>
      <w:proofErr w:type="gramStart"/>
      <w:r>
        <w:t>for</w:t>
      </w:r>
      <w:proofErr w:type="gramEnd"/>
      <w:r>
        <w:t xml:space="preserve"> example’ in text, ‘e.g.,’ only within parentheses</w:t>
      </w:r>
    </w:p>
    <w:p w14:paraId="05B79A8E" w14:textId="4A828862" w:rsidR="00AE3605" w:rsidRDefault="00AE3605" w:rsidP="00AE3605">
      <w:pPr>
        <w:pStyle w:val="ListParagraph"/>
        <w:numPr>
          <w:ilvl w:val="0"/>
          <w:numId w:val="2"/>
        </w:numPr>
      </w:pPr>
      <w:r>
        <w:t>‘</w:t>
      </w:r>
      <w:proofErr w:type="gramStart"/>
      <w:r>
        <w:t>that</w:t>
      </w:r>
      <w:proofErr w:type="gramEnd"/>
      <w:r>
        <w:t xml:space="preserve"> is’ in text, ‘i.e.,’ only within parentheses</w:t>
      </w:r>
    </w:p>
    <w:p w14:paraId="62AF5E55" w14:textId="3B858922" w:rsidR="00AE3605" w:rsidRDefault="00747325" w:rsidP="00AE3605">
      <w:pPr>
        <w:pStyle w:val="ListParagraph"/>
        <w:numPr>
          <w:ilvl w:val="0"/>
          <w:numId w:val="2"/>
        </w:numPr>
      </w:pPr>
      <w:r>
        <w:t>‘Earth’ not ‘earth’, same for other planets</w:t>
      </w:r>
      <w:r w:rsidR="008951A9">
        <w:t>; ‘earth’ when referring to the substrate</w:t>
      </w:r>
    </w:p>
    <w:p w14:paraId="05EF6478" w14:textId="2A14A9C3" w:rsidR="00747325" w:rsidRDefault="00FC6028" w:rsidP="00AE3605">
      <w:pPr>
        <w:pStyle w:val="ListParagraph"/>
        <w:numPr>
          <w:ilvl w:val="0"/>
          <w:numId w:val="2"/>
        </w:numPr>
      </w:pPr>
      <w:r>
        <w:t>ampersands (&amp;) are only used if they are part of official names</w:t>
      </w:r>
    </w:p>
    <w:p w14:paraId="738B1172" w14:textId="4DDB71C2" w:rsidR="00FC6028" w:rsidRDefault="00FC6028" w:rsidP="00AE3605">
      <w:pPr>
        <w:pStyle w:val="ListParagraph"/>
        <w:numPr>
          <w:ilvl w:val="0"/>
          <w:numId w:val="2"/>
        </w:numPr>
      </w:pPr>
      <w:r>
        <w:t>name initials have full stops between (e.g., A.B. Palaeontologist)</w:t>
      </w:r>
    </w:p>
    <w:p w14:paraId="7FD335A1" w14:textId="7E149EB5" w:rsidR="00FC6028" w:rsidRDefault="0006212E" w:rsidP="00AE3605">
      <w:pPr>
        <w:pStyle w:val="ListParagraph"/>
        <w:numPr>
          <w:ilvl w:val="0"/>
          <w:numId w:val="2"/>
        </w:numPr>
      </w:pPr>
      <w:r>
        <w:t>Latin</w:t>
      </w:r>
      <w:r w:rsidR="00FC6028">
        <w:t xml:space="preserve"> abbreviations and words are not italicised (e.g., etc., in situ) unless they are uncommonly used</w:t>
      </w:r>
    </w:p>
    <w:p w14:paraId="17FAF82B" w14:textId="1EF53A88" w:rsidR="00FC6028" w:rsidRDefault="00D87B10" w:rsidP="00AE3605">
      <w:pPr>
        <w:pStyle w:val="ListParagraph"/>
        <w:numPr>
          <w:ilvl w:val="0"/>
          <w:numId w:val="2"/>
        </w:numPr>
      </w:pPr>
      <w:r>
        <w:t>only use capital letters if they are absolutely necessary</w:t>
      </w:r>
      <w:r w:rsidR="00B81885">
        <w:t xml:space="preserve"> (e.g., Department of Earth Sciences, but the </w:t>
      </w:r>
      <w:proofErr w:type="gramStart"/>
      <w:r w:rsidR="00B81885">
        <w:t>department</w:t>
      </w:r>
      <w:r w:rsidR="006F3DC6">
        <w:t>;</w:t>
      </w:r>
      <w:proofErr w:type="gramEnd"/>
      <w:r w:rsidR="006F3DC6">
        <w:t xml:space="preserve"> University of Place, but the university</w:t>
      </w:r>
      <w:r w:rsidR="00B81885">
        <w:t>)</w:t>
      </w:r>
    </w:p>
    <w:p w14:paraId="2560250E" w14:textId="0AA8A8B9" w:rsidR="00B81885" w:rsidRDefault="005A65D0" w:rsidP="00AE3605">
      <w:pPr>
        <w:pStyle w:val="ListParagraph"/>
        <w:numPr>
          <w:ilvl w:val="0"/>
          <w:numId w:val="2"/>
        </w:numPr>
      </w:pPr>
      <w:r>
        <w:t>capitalise all words in titles (e.g., books) except articles, prepositions and conjunctions (e.g., World of Warcraft)</w:t>
      </w:r>
    </w:p>
    <w:p w14:paraId="74821C90" w14:textId="077F364B" w:rsidR="00EF3F22" w:rsidRDefault="00EF3F22" w:rsidP="00EF3F22">
      <w:pPr>
        <w:pStyle w:val="ListParagraph"/>
        <w:numPr>
          <w:ilvl w:val="0"/>
          <w:numId w:val="2"/>
        </w:numPr>
      </w:pPr>
      <w:r>
        <w:lastRenderedPageBreak/>
        <w:t>spell out whole-number words for one to ten; use figures for 11 and up</w:t>
      </w:r>
    </w:p>
    <w:p w14:paraId="15D5DC6E" w14:textId="37E2FBF0" w:rsidR="00EF3F22" w:rsidRDefault="00EF3F22" w:rsidP="00EF3F22">
      <w:pPr>
        <w:pStyle w:val="ListParagraph"/>
        <w:numPr>
          <w:ilvl w:val="0"/>
          <w:numId w:val="2"/>
        </w:numPr>
      </w:pPr>
      <w:r>
        <w:t>if there are many numbers in a sentence or paragraph, use only figures</w:t>
      </w:r>
    </w:p>
    <w:p w14:paraId="724D959F" w14:textId="7F27FD99" w:rsidR="00EF3F22" w:rsidRDefault="00DC347A" w:rsidP="00EF3F22">
      <w:pPr>
        <w:pStyle w:val="ListParagraph"/>
        <w:numPr>
          <w:ilvl w:val="0"/>
          <w:numId w:val="2"/>
        </w:numPr>
      </w:pPr>
      <w:r>
        <w:t xml:space="preserve">write out ‘first’ to ‘tenth’; use figures plus </w:t>
      </w:r>
      <w:proofErr w:type="spellStart"/>
      <w:r>
        <w:t>st</w:t>
      </w:r>
      <w:proofErr w:type="spellEnd"/>
      <w:r>
        <w:t>/</w:t>
      </w:r>
      <w:proofErr w:type="spellStart"/>
      <w:r>
        <w:t>nd</w:t>
      </w:r>
      <w:proofErr w:type="spellEnd"/>
      <w:r>
        <w:t>/</w:t>
      </w:r>
      <w:proofErr w:type="spellStart"/>
      <w:r>
        <w:t>rd</w:t>
      </w:r>
      <w:proofErr w:type="spellEnd"/>
      <w:r>
        <w:t>/</w:t>
      </w:r>
      <w:proofErr w:type="spellStart"/>
      <w:r>
        <w:t>th</w:t>
      </w:r>
      <w:proofErr w:type="spellEnd"/>
      <w:r>
        <w:t xml:space="preserve"> above tenth, not in superscript</w:t>
      </w:r>
    </w:p>
    <w:p w14:paraId="6CFEDE78" w14:textId="0F793488" w:rsidR="00DC347A" w:rsidRDefault="00B2698E" w:rsidP="00EF3F22">
      <w:pPr>
        <w:pStyle w:val="ListParagraph"/>
        <w:numPr>
          <w:ilvl w:val="0"/>
          <w:numId w:val="2"/>
        </w:numPr>
      </w:pPr>
      <w:r>
        <w:t>do not write ‘percent’ after a figure, use the symbol (e.g., 10%)</w:t>
      </w:r>
    </w:p>
    <w:p w14:paraId="6121405E" w14:textId="77777777" w:rsidR="005C3497" w:rsidRDefault="005C3497" w:rsidP="00EF3F22">
      <w:pPr>
        <w:pStyle w:val="ListParagraph"/>
        <w:numPr>
          <w:ilvl w:val="0"/>
          <w:numId w:val="2"/>
        </w:numPr>
        <w:sectPr w:rsidR="005C3497" w:rsidSect="00411431">
          <w:type w:val="continuous"/>
          <w:pgSz w:w="11906" w:h="16838"/>
          <w:pgMar w:top="1440" w:right="1080" w:bottom="1440" w:left="1080" w:header="708" w:footer="708" w:gutter="0"/>
          <w:cols w:num="2" w:space="708"/>
          <w:docGrid w:linePitch="360"/>
        </w:sectPr>
      </w:pPr>
    </w:p>
    <w:p w14:paraId="4ACA5E04" w14:textId="7B120001" w:rsidR="00B2698E" w:rsidRDefault="00B2698E" w:rsidP="00EF3F22">
      <w:pPr>
        <w:pStyle w:val="ListParagraph"/>
        <w:numPr>
          <w:ilvl w:val="0"/>
          <w:numId w:val="2"/>
        </w:numPr>
      </w:pPr>
      <w:r>
        <w:t>do not write out measurements or currency units, use the symbols (e.g., 10 mm or €10)</w:t>
      </w:r>
    </w:p>
    <w:p w14:paraId="4DEBB7A2" w14:textId="57C2839B" w:rsidR="00B2698E" w:rsidRDefault="00B2698E" w:rsidP="00EF3F22">
      <w:pPr>
        <w:pStyle w:val="ListParagraph"/>
        <w:numPr>
          <w:ilvl w:val="0"/>
          <w:numId w:val="2"/>
        </w:numPr>
      </w:pPr>
      <w:r>
        <w:t>insert a space between the figure and the unit symbol, except for percentages</w:t>
      </w:r>
    </w:p>
    <w:p w14:paraId="13504E90" w14:textId="7B43AEA9" w:rsidR="00B2698E" w:rsidRDefault="00007238" w:rsidP="00EF3F22">
      <w:pPr>
        <w:pStyle w:val="ListParagraph"/>
        <w:numPr>
          <w:ilvl w:val="0"/>
          <w:numId w:val="2"/>
        </w:numPr>
      </w:pPr>
      <w:r>
        <w:t xml:space="preserve">dates are written day month year (e.g., </w:t>
      </w:r>
      <w:r w:rsidR="00543172">
        <w:t>1 February 2025</w:t>
      </w:r>
      <w:r>
        <w:t>)</w:t>
      </w:r>
    </w:p>
    <w:p w14:paraId="36806C6C" w14:textId="2350CC85" w:rsidR="00543172" w:rsidRDefault="006532F9" w:rsidP="00EF3F22">
      <w:pPr>
        <w:pStyle w:val="ListParagraph"/>
        <w:numPr>
          <w:ilvl w:val="0"/>
          <w:numId w:val="2"/>
        </w:numPr>
      </w:pPr>
      <w:r>
        <w:t xml:space="preserve">number ranges are separated by an </w:t>
      </w:r>
      <w:proofErr w:type="spellStart"/>
      <w:r>
        <w:t>en</w:t>
      </w:r>
      <w:proofErr w:type="spellEnd"/>
      <w:r>
        <w:t>-dash (e.g., 1</w:t>
      </w:r>
      <w:r w:rsidRPr="00AC7466">
        <w:t>–</w:t>
      </w:r>
      <w:r>
        <w:t>5)</w:t>
      </w:r>
    </w:p>
    <w:p w14:paraId="65C3A637" w14:textId="105E5C43" w:rsidR="006532F9" w:rsidRDefault="00017348" w:rsidP="00EF3F22">
      <w:pPr>
        <w:pStyle w:val="ListParagraph"/>
        <w:numPr>
          <w:ilvl w:val="0"/>
          <w:numId w:val="2"/>
        </w:numPr>
      </w:pPr>
      <w:r>
        <w:t>“” are used to enclose direct quotes</w:t>
      </w:r>
    </w:p>
    <w:p w14:paraId="790C3947" w14:textId="407B7EB5" w:rsidR="00017348" w:rsidRDefault="00017348" w:rsidP="00EF3F22">
      <w:pPr>
        <w:pStyle w:val="ListParagraph"/>
        <w:numPr>
          <w:ilvl w:val="0"/>
          <w:numId w:val="2"/>
        </w:numPr>
      </w:pPr>
      <w:r>
        <w:t xml:space="preserve">‘’ are used for everything else (to highlight </w:t>
      </w:r>
      <w:proofErr w:type="gramStart"/>
      <w:r>
        <w:t>particular phrases</w:t>
      </w:r>
      <w:proofErr w:type="gramEnd"/>
      <w:r>
        <w:t>, to use uncommon phrasing, etc.)</w:t>
      </w:r>
    </w:p>
    <w:p w14:paraId="3405D9A3" w14:textId="3BBF51DA" w:rsidR="00017348" w:rsidRDefault="00017348" w:rsidP="00EF3F22">
      <w:pPr>
        <w:pStyle w:val="ListParagraph"/>
        <w:numPr>
          <w:ilvl w:val="0"/>
          <w:numId w:val="2"/>
        </w:numPr>
      </w:pPr>
      <w:r>
        <w:t>ellipses should not have a space before them, and can be used to show text is missing (e.g., from a quotation)</w:t>
      </w:r>
    </w:p>
    <w:p w14:paraId="5208C412" w14:textId="45790E71" w:rsidR="00017348" w:rsidRDefault="00DF5E2F" w:rsidP="00EF3F22">
      <w:pPr>
        <w:pStyle w:val="ListParagraph"/>
        <w:numPr>
          <w:ilvl w:val="0"/>
          <w:numId w:val="2"/>
        </w:numPr>
      </w:pPr>
      <w:r>
        <w:t>in general, text should not be in bold or italics (except for headings and species names)</w:t>
      </w:r>
    </w:p>
    <w:p w14:paraId="3E3DC08F" w14:textId="0F3D2580" w:rsidR="00DF5E2F" w:rsidRDefault="009751A5" w:rsidP="00EF3F22">
      <w:pPr>
        <w:pStyle w:val="ListParagraph"/>
        <w:numPr>
          <w:ilvl w:val="0"/>
          <w:numId w:val="2"/>
        </w:numPr>
      </w:pPr>
      <w:r>
        <w:t>avoid use of underlining</w:t>
      </w:r>
    </w:p>
    <w:p w14:paraId="66609F6C" w14:textId="3D8C5516" w:rsidR="009751A5" w:rsidRDefault="0042706B" w:rsidP="00EF3F22">
      <w:pPr>
        <w:pStyle w:val="ListParagraph"/>
        <w:numPr>
          <w:ilvl w:val="0"/>
          <w:numId w:val="2"/>
        </w:numPr>
      </w:pPr>
      <w:r>
        <w:t>‘less’ is used for uncountable nouns (e.g., less information); ‘fewer’ is used for countable nouns (e.g., fewer people)</w:t>
      </w:r>
    </w:p>
    <w:p w14:paraId="2D8F1587" w14:textId="4E57E658" w:rsidR="0042706B" w:rsidRDefault="009D580B" w:rsidP="00EF3F22">
      <w:pPr>
        <w:pStyle w:val="ListParagraph"/>
        <w:numPr>
          <w:ilvl w:val="0"/>
          <w:numId w:val="2"/>
        </w:numPr>
      </w:pPr>
      <w:r>
        <w:t xml:space="preserve">as a verb, </w:t>
      </w:r>
      <w:r w:rsidR="00BF11E2">
        <w:t xml:space="preserve">‘effect’ means to being about a result; ‘affect’ means to </w:t>
      </w:r>
      <w:r>
        <w:t>directly change something</w:t>
      </w:r>
    </w:p>
    <w:p w14:paraId="52A3538D" w14:textId="21D930DC" w:rsidR="009D580B" w:rsidRDefault="009D580B" w:rsidP="00EF3F22">
      <w:pPr>
        <w:pStyle w:val="ListParagraph"/>
        <w:numPr>
          <w:ilvl w:val="0"/>
          <w:numId w:val="2"/>
        </w:numPr>
      </w:pPr>
      <w:r>
        <w:t>as a noun, ‘effect’ means the impact something causes; ‘affect’ means the outward appearance of a psychological state</w:t>
      </w:r>
    </w:p>
    <w:p w14:paraId="1F8CF62B" w14:textId="0BE0B42D" w:rsidR="009D580B" w:rsidRDefault="00A6779A" w:rsidP="00EF3F22">
      <w:pPr>
        <w:pStyle w:val="ListParagraph"/>
        <w:numPr>
          <w:ilvl w:val="0"/>
          <w:numId w:val="2"/>
        </w:numPr>
      </w:pPr>
      <w:r>
        <w:t xml:space="preserve">use the </w:t>
      </w:r>
      <w:r w:rsidR="00AB4F8B">
        <w:t>required</w:t>
      </w:r>
      <w:r>
        <w:t xml:space="preserve"> non-English-language accents on letters</w:t>
      </w:r>
      <w:r w:rsidR="00AB4F8B">
        <w:t xml:space="preserve"> (e.g., ‘lagerstätte’)</w:t>
      </w:r>
    </w:p>
    <w:p w14:paraId="076ABBB5" w14:textId="146108AF" w:rsidR="00A6779A" w:rsidRDefault="007909FB" w:rsidP="00EF3F22">
      <w:pPr>
        <w:pStyle w:val="ListParagraph"/>
        <w:numPr>
          <w:ilvl w:val="0"/>
          <w:numId w:val="2"/>
        </w:numPr>
      </w:pPr>
      <w:r>
        <w:t>use appropriate non-English-language plural forms (e.g., ‘nucleus/nuclei’, ‘genus’/’genera’, ‘</w:t>
      </w:r>
      <w:proofErr w:type="spellStart"/>
      <w:r>
        <w:t>librigena</w:t>
      </w:r>
      <w:proofErr w:type="spellEnd"/>
      <w:r>
        <w:t xml:space="preserve">’/’librigenae’, </w:t>
      </w:r>
      <w:r w:rsidR="008840A5">
        <w:t>‘bacterium’/’bacteria’, ‘</w:t>
      </w:r>
      <w:r w:rsidR="006E359F">
        <w:t>formula</w:t>
      </w:r>
      <w:r w:rsidR="008840A5">
        <w:t>’</w:t>
      </w:r>
      <w:r w:rsidR="006E359F">
        <w:t>/’formulae’</w:t>
      </w:r>
      <w:r>
        <w:t>)</w:t>
      </w:r>
    </w:p>
    <w:p w14:paraId="6455F915" w14:textId="23B2EFF0" w:rsidR="007E6602" w:rsidRDefault="007E6602" w:rsidP="00EF3F22">
      <w:pPr>
        <w:pStyle w:val="ListParagraph"/>
        <w:numPr>
          <w:ilvl w:val="0"/>
          <w:numId w:val="2"/>
        </w:numPr>
      </w:pPr>
      <w:r>
        <w:t>‘significant’ should only be used when discussing statistical significance</w:t>
      </w:r>
    </w:p>
    <w:p w14:paraId="185A148B" w14:textId="65F6A697" w:rsidR="009C04B0" w:rsidRDefault="009C04B0" w:rsidP="009C04B0">
      <w:pPr>
        <w:pStyle w:val="ListParagraph"/>
        <w:numPr>
          <w:ilvl w:val="0"/>
          <w:numId w:val="2"/>
        </w:numPr>
      </w:pPr>
      <w:r>
        <w:t xml:space="preserve">‘comprise’ (not </w:t>
      </w:r>
      <w:r w:rsidR="00265244">
        <w:t>‘</w:t>
      </w:r>
      <w:r>
        <w:t>comprise of</w:t>
      </w:r>
      <w:r w:rsidR="00265244">
        <w:t>’</w:t>
      </w:r>
      <w:r>
        <w:t>), but ‘consist of’</w:t>
      </w:r>
    </w:p>
    <w:p w14:paraId="1C24BB64" w14:textId="7957C764" w:rsidR="009C04B0" w:rsidRDefault="00265244" w:rsidP="009C04B0">
      <w:pPr>
        <w:pStyle w:val="ListParagraph"/>
        <w:numPr>
          <w:ilvl w:val="0"/>
          <w:numId w:val="2"/>
        </w:numPr>
      </w:pPr>
      <w:r>
        <w:t>‘stationary’ (not moving</w:t>
      </w:r>
      <w:r w:rsidR="00A54363">
        <w:t>)</w:t>
      </w:r>
    </w:p>
    <w:p w14:paraId="39CB1A73" w14:textId="7404E1DD" w:rsidR="005C3497" w:rsidRPr="00A54363" w:rsidRDefault="00265244" w:rsidP="005C3497">
      <w:pPr>
        <w:pStyle w:val="ListParagraph"/>
        <w:numPr>
          <w:ilvl w:val="0"/>
          <w:numId w:val="2"/>
        </w:numPr>
      </w:pPr>
      <w:r>
        <w:t>‘program’ (computer program), ‘programme’ (a schedule, events)</w:t>
      </w:r>
    </w:p>
    <w:sectPr w:rsidR="005C3497" w:rsidRPr="00A54363" w:rsidSect="005C3497">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6926" w14:textId="77777777" w:rsidR="002B12BE" w:rsidRDefault="002B12BE" w:rsidP="00AE240E">
      <w:r>
        <w:separator/>
      </w:r>
    </w:p>
  </w:endnote>
  <w:endnote w:type="continuationSeparator" w:id="0">
    <w:p w14:paraId="32862EF1" w14:textId="77777777" w:rsidR="002B12BE" w:rsidRDefault="002B12BE" w:rsidP="00AE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2370525"/>
      <w:docPartObj>
        <w:docPartGallery w:val="Page Numbers (Bottom of Page)"/>
        <w:docPartUnique/>
      </w:docPartObj>
    </w:sdtPr>
    <w:sdtContent>
      <w:p w14:paraId="4B6D28E2" w14:textId="77777777" w:rsidR="0058622F" w:rsidRDefault="0058622F" w:rsidP="00FC50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C6372D" w14:textId="77777777" w:rsidR="0058622F" w:rsidRDefault="0058622F" w:rsidP="00AE24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249082"/>
      <w:docPartObj>
        <w:docPartGallery w:val="Page Numbers (Bottom of Page)"/>
        <w:docPartUnique/>
      </w:docPartObj>
    </w:sdtPr>
    <w:sdtContent>
      <w:p w14:paraId="6F5248E3" w14:textId="77777777" w:rsidR="0058622F" w:rsidRDefault="0058622F" w:rsidP="00FC502D">
        <w:pPr>
          <w:pStyle w:val="Footer"/>
          <w:framePr w:wrap="none" w:vAnchor="text" w:hAnchor="margin" w:xAlign="center" w:y="1"/>
          <w:rPr>
            <w:rStyle w:val="PageNumber"/>
          </w:rPr>
        </w:pPr>
        <w:r w:rsidRPr="00FC502D">
          <w:rPr>
            <w:rStyle w:val="PageNumber"/>
            <w:sz w:val="21"/>
            <w:szCs w:val="21"/>
          </w:rPr>
          <w:fldChar w:fldCharType="begin"/>
        </w:r>
        <w:r w:rsidRPr="00FC502D">
          <w:rPr>
            <w:rStyle w:val="PageNumber"/>
            <w:sz w:val="21"/>
            <w:szCs w:val="21"/>
          </w:rPr>
          <w:instrText xml:space="preserve"> PAGE </w:instrText>
        </w:r>
        <w:r w:rsidRPr="00FC502D">
          <w:rPr>
            <w:rStyle w:val="PageNumber"/>
            <w:sz w:val="21"/>
            <w:szCs w:val="21"/>
          </w:rPr>
          <w:fldChar w:fldCharType="separate"/>
        </w:r>
        <w:r w:rsidRPr="00FC502D">
          <w:rPr>
            <w:rStyle w:val="PageNumber"/>
            <w:noProof/>
            <w:sz w:val="21"/>
            <w:szCs w:val="21"/>
          </w:rPr>
          <w:t>1</w:t>
        </w:r>
        <w:r w:rsidRPr="00FC502D">
          <w:rPr>
            <w:rStyle w:val="PageNumber"/>
            <w:sz w:val="21"/>
            <w:szCs w:val="21"/>
          </w:rPr>
          <w:fldChar w:fldCharType="end"/>
        </w:r>
      </w:p>
    </w:sdtContent>
  </w:sdt>
  <w:p w14:paraId="42C31B95" w14:textId="77777777" w:rsidR="0058622F" w:rsidRDefault="0058622F" w:rsidP="00AE240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AB38" w14:textId="30CD7071" w:rsidR="00E84998" w:rsidRPr="00E84998" w:rsidRDefault="00E84998" w:rsidP="00FC502D">
    <w:pPr>
      <w:pStyle w:val="Footer"/>
      <w:jc w:val="center"/>
      <w:rPr>
        <w:sz w:val="21"/>
        <w:szCs w:val="21"/>
      </w:rPr>
    </w:pPr>
    <w:r w:rsidRPr="00E84998">
      <w:rPr>
        <w:sz w:val="21"/>
        <w:szCs w:val="21"/>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753647"/>
      <w:docPartObj>
        <w:docPartGallery w:val="Page Numbers (Bottom of Page)"/>
        <w:docPartUnique/>
      </w:docPartObj>
    </w:sdtPr>
    <w:sdtContent>
      <w:p w14:paraId="0D04E98E" w14:textId="331BC561" w:rsidR="00AE240E" w:rsidRDefault="00AE240E" w:rsidP="00E83A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FCF1E8" w14:textId="77777777" w:rsidR="00AE240E" w:rsidRDefault="00AE240E" w:rsidP="00AE24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0846132"/>
      <w:docPartObj>
        <w:docPartGallery w:val="Page Numbers (Bottom of Page)"/>
        <w:docPartUnique/>
      </w:docPartObj>
    </w:sdtPr>
    <w:sdtEndPr>
      <w:rPr>
        <w:rStyle w:val="PageNumber"/>
        <w:sz w:val="21"/>
        <w:szCs w:val="21"/>
      </w:rPr>
    </w:sdtEndPr>
    <w:sdtContent>
      <w:p w14:paraId="03B3336C" w14:textId="4F27A9BC" w:rsidR="00AE240E" w:rsidRPr="00E83A51" w:rsidRDefault="00AE240E" w:rsidP="00E83A51">
        <w:pPr>
          <w:pStyle w:val="Footer"/>
          <w:framePr w:wrap="none" w:vAnchor="text" w:hAnchor="margin" w:xAlign="center" w:y="1"/>
          <w:rPr>
            <w:rStyle w:val="PageNumber"/>
            <w:sz w:val="21"/>
            <w:szCs w:val="21"/>
          </w:rPr>
        </w:pPr>
        <w:r w:rsidRPr="00E83A51">
          <w:rPr>
            <w:rStyle w:val="PageNumber"/>
            <w:sz w:val="21"/>
            <w:szCs w:val="21"/>
          </w:rPr>
          <w:fldChar w:fldCharType="begin"/>
        </w:r>
        <w:r w:rsidRPr="00E83A51">
          <w:rPr>
            <w:rStyle w:val="PageNumber"/>
            <w:sz w:val="21"/>
            <w:szCs w:val="21"/>
          </w:rPr>
          <w:instrText xml:space="preserve"> PAGE </w:instrText>
        </w:r>
        <w:r w:rsidRPr="00E83A51">
          <w:rPr>
            <w:rStyle w:val="PageNumber"/>
            <w:sz w:val="21"/>
            <w:szCs w:val="21"/>
          </w:rPr>
          <w:fldChar w:fldCharType="separate"/>
        </w:r>
        <w:r w:rsidRPr="00E83A51">
          <w:rPr>
            <w:rStyle w:val="PageNumber"/>
            <w:noProof/>
            <w:sz w:val="21"/>
            <w:szCs w:val="21"/>
          </w:rPr>
          <w:t>1</w:t>
        </w:r>
        <w:r w:rsidRPr="00E83A51">
          <w:rPr>
            <w:rStyle w:val="PageNumber"/>
            <w:sz w:val="21"/>
            <w:szCs w:val="21"/>
          </w:rPr>
          <w:fldChar w:fldCharType="end"/>
        </w:r>
      </w:p>
    </w:sdtContent>
  </w:sdt>
  <w:p w14:paraId="7EA5B270" w14:textId="77777777" w:rsidR="00AE240E" w:rsidRDefault="00AE240E" w:rsidP="00AE24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AD77" w14:textId="77777777" w:rsidR="002B12BE" w:rsidRDefault="002B12BE" w:rsidP="00AE240E">
      <w:r>
        <w:separator/>
      </w:r>
    </w:p>
  </w:footnote>
  <w:footnote w:type="continuationSeparator" w:id="0">
    <w:p w14:paraId="108B72F0" w14:textId="77777777" w:rsidR="002B12BE" w:rsidRDefault="002B12BE" w:rsidP="00AE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30F1" w14:textId="2C563038" w:rsidR="00E84998" w:rsidRPr="00E84998" w:rsidRDefault="00E84998" w:rsidP="00E84998">
    <w:pPr>
      <w:pStyle w:val="Header"/>
      <w:jc w:val="right"/>
      <w:rPr>
        <w:sz w:val="21"/>
        <w:szCs w:val="21"/>
      </w:rPr>
    </w:pPr>
    <w:r w:rsidRPr="00E84998">
      <w:rPr>
        <w:i/>
        <w:iCs/>
        <w:sz w:val="21"/>
        <w:szCs w:val="21"/>
      </w:rPr>
      <w:t xml:space="preserve">Opal </w:t>
    </w:r>
    <w:r w:rsidRPr="00E84998">
      <w:rPr>
        <w:sz w:val="21"/>
        <w:szCs w:val="21"/>
      </w:rPr>
      <w:t>Editorial Team, Feb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636"/>
    <w:multiLevelType w:val="hybridMultilevel"/>
    <w:tmpl w:val="F5B2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561A3"/>
    <w:multiLevelType w:val="hybridMultilevel"/>
    <w:tmpl w:val="01E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538F7"/>
    <w:multiLevelType w:val="hybridMultilevel"/>
    <w:tmpl w:val="26A88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522A8"/>
    <w:multiLevelType w:val="hybridMultilevel"/>
    <w:tmpl w:val="8BF2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36CAB"/>
    <w:multiLevelType w:val="hybridMultilevel"/>
    <w:tmpl w:val="41EC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71AF7"/>
    <w:multiLevelType w:val="hybridMultilevel"/>
    <w:tmpl w:val="9C18D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960C8"/>
    <w:multiLevelType w:val="hybridMultilevel"/>
    <w:tmpl w:val="2E70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D65DC"/>
    <w:multiLevelType w:val="hybridMultilevel"/>
    <w:tmpl w:val="FC30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F60B3D"/>
    <w:multiLevelType w:val="hybridMultilevel"/>
    <w:tmpl w:val="AE08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9869EF"/>
    <w:multiLevelType w:val="hybridMultilevel"/>
    <w:tmpl w:val="69E6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BF7388"/>
    <w:multiLevelType w:val="hybridMultilevel"/>
    <w:tmpl w:val="187C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5A4BB8"/>
    <w:multiLevelType w:val="hybridMultilevel"/>
    <w:tmpl w:val="3120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492941">
    <w:abstractNumId w:val="8"/>
  </w:num>
  <w:num w:numId="2" w16cid:durableId="1789592023">
    <w:abstractNumId w:val="6"/>
  </w:num>
  <w:num w:numId="3" w16cid:durableId="687950815">
    <w:abstractNumId w:val="9"/>
  </w:num>
  <w:num w:numId="4" w16cid:durableId="516237580">
    <w:abstractNumId w:val="10"/>
  </w:num>
  <w:num w:numId="5" w16cid:durableId="1445003510">
    <w:abstractNumId w:val="0"/>
  </w:num>
  <w:num w:numId="6" w16cid:durableId="1114248699">
    <w:abstractNumId w:val="1"/>
  </w:num>
  <w:num w:numId="7" w16cid:durableId="1233616778">
    <w:abstractNumId w:val="4"/>
  </w:num>
  <w:num w:numId="8" w16cid:durableId="2003583800">
    <w:abstractNumId w:val="11"/>
  </w:num>
  <w:num w:numId="9" w16cid:durableId="610475188">
    <w:abstractNumId w:val="5"/>
  </w:num>
  <w:num w:numId="10" w16cid:durableId="863908501">
    <w:abstractNumId w:val="7"/>
  </w:num>
  <w:num w:numId="11" w16cid:durableId="465508170">
    <w:abstractNumId w:val="3"/>
  </w:num>
  <w:num w:numId="12" w16cid:durableId="207572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2F"/>
    <w:rsid w:val="00007238"/>
    <w:rsid w:val="000105C3"/>
    <w:rsid w:val="00017348"/>
    <w:rsid w:val="000241D9"/>
    <w:rsid w:val="000314F7"/>
    <w:rsid w:val="0004628E"/>
    <w:rsid w:val="00052799"/>
    <w:rsid w:val="00061B2C"/>
    <w:rsid w:val="00061F66"/>
    <w:rsid w:val="0006212E"/>
    <w:rsid w:val="00071269"/>
    <w:rsid w:val="000778A4"/>
    <w:rsid w:val="0008391E"/>
    <w:rsid w:val="00090330"/>
    <w:rsid w:val="00090E43"/>
    <w:rsid w:val="000950AA"/>
    <w:rsid w:val="00095EBE"/>
    <w:rsid w:val="000A260E"/>
    <w:rsid w:val="000A746A"/>
    <w:rsid w:val="000B1693"/>
    <w:rsid w:val="000C42C6"/>
    <w:rsid w:val="000C7A43"/>
    <w:rsid w:val="000E1081"/>
    <w:rsid w:val="000E450E"/>
    <w:rsid w:val="000E4CEA"/>
    <w:rsid w:val="000E7090"/>
    <w:rsid w:val="001014DA"/>
    <w:rsid w:val="00107461"/>
    <w:rsid w:val="0012767C"/>
    <w:rsid w:val="00130D3C"/>
    <w:rsid w:val="001540A7"/>
    <w:rsid w:val="00162AC9"/>
    <w:rsid w:val="00163AC8"/>
    <w:rsid w:val="001655EA"/>
    <w:rsid w:val="00166976"/>
    <w:rsid w:val="00170819"/>
    <w:rsid w:val="00173EC2"/>
    <w:rsid w:val="0018283A"/>
    <w:rsid w:val="00187F9B"/>
    <w:rsid w:val="001926FA"/>
    <w:rsid w:val="001956B3"/>
    <w:rsid w:val="001A142B"/>
    <w:rsid w:val="001A5A24"/>
    <w:rsid w:val="001B28A7"/>
    <w:rsid w:val="001C4360"/>
    <w:rsid w:val="001C795A"/>
    <w:rsid w:val="001D2D26"/>
    <w:rsid w:val="001D5DD6"/>
    <w:rsid w:val="001E4686"/>
    <w:rsid w:val="001E4998"/>
    <w:rsid w:val="001E5297"/>
    <w:rsid w:val="001F43F8"/>
    <w:rsid w:val="002049E2"/>
    <w:rsid w:val="00205BAB"/>
    <w:rsid w:val="002065C3"/>
    <w:rsid w:val="00213B70"/>
    <w:rsid w:val="00214073"/>
    <w:rsid w:val="002343A3"/>
    <w:rsid w:val="0024482F"/>
    <w:rsid w:val="00247736"/>
    <w:rsid w:val="0025590F"/>
    <w:rsid w:val="00257DED"/>
    <w:rsid w:val="00261326"/>
    <w:rsid w:val="002621DF"/>
    <w:rsid w:val="00265244"/>
    <w:rsid w:val="002801AB"/>
    <w:rsid w:val="002843A6"/>
    <w:rsid w:val="002A18B3"/>
    <w:rsid w:val="002A4DDF"/>
    <w:rsid w:val="002A6E40"/>
    <w:rsid w:val="002A7D39"/>
    <w:rsid w:val="002B12BE"/>
    <w:rsid w:val="002B51ED"/>
    <w:rsid w:val="002C6448"/>
    <w:rsid w:val="002D0EB5"/>
    <w:rsid w:val="002D3B69"/>
    <w:rsid w:val="002D40BD"/>
    <w:rsid w:val="002D4155"/>
    <w:rsid w:val="002D7D36"/>
    <w:rsid w:val="002E253C"/>
    <w:rsid w:val="002F1DBB"/>
    <w:rsid w:val="002F2CB5"/>
    <w:rsid w:val="002F3109"/>
    <w:rsid w:val="0030464C"/>
    <w:rsid w:val="0030795C"/>
    <w:rsid w:val="00324F97"/>
    <w:rsid w:val="0033054B"/>
    <w:rsid w:val="00346D8C"/>
    <w:rsid w:val="00346DE4"/>
    <w:rsid w:val="003562C6"/>
    <w:rsid w:val="00361670"/>
    <w:rsid w:val="003822CE"/>
    <w:rsid w:val="003825F7"/>
    <w:rsid w:val="003B1A6B"/>
    <w:rsid w:val="003B327A"/>
    <w:rsid w:val="003B4C4D"/>
    <w:rsid w:val="003C0B07"/>
    <w:rsid w:val="003C6034"/>
    <w:rsid w:val="003E5477"/>
    <w:rsid w:val="003E6A56"/>
    <w:rsid w:val="003F0D52"/>
    <w:rsid w:val="003F6BF0"/>
    <w:rsid w:val="004009B1"/>
    <w:rsid w:val="00402FD9"/>
    <w:rsid w:val="00404E3A"/>
    <w:rsid w:val="00411431"/>
    <w:rsid w:val="0042706B"/>
    <w:rsid w:val="0043582D"/>
    <w:rsid w:val="00443BA3"/>
    <w:rsid w:val="004550D5"/>
    <w:rsid w:val="00472B4D"/>
    <w:rsid w:val="00480496"/>
    <w:rsid w:val="00482870"/>
    <w:rsid w:val="0049172D"/>
    <w:rsid w:val="004A4266"/>
    <w:rsid w:val="004A70C4"/>
    <w:rsid w:val="004B5130"/>
    <w:rsid w:val="004C73C2"/>
    <w:rsid w:val="004D4961"/>
    <w:rsid w:val="004E5CAA"/>
    <w:rsid w:val="00505A0C"/>
    <w:rsid w:val="00506A2A"/>
    <w:rsid w:val="005138A5"/>
    <w:rsid w:val="0051525B"/>
    <w:rsid w:val="00527E4D"/>
    <w:rsid w:val="005352F1"/>
    <w:rsid w:val="0053628D"/>
    <w:rsid w:val="00543172"/>
    <w:rsid w:val="00550E79"/>
    <w:rsid w:val="00554B2F"/>
    <w:rsid w:val="00563A58"/>
    <w:rsid w:val="00573A04"/>
    <w:rsid w:val="00573CC9"/>
    <w:rsid w:val="0058138D"/>
    <w:rsid w:val="0058622F"/>
    <w:rsid w:val="005921F7"/>
    <w:rsid w:val="005A65D0"/>
    <w:rsid w:val="005B0FE5"/>
    <w:rsid w:val="005B6772"/>
    <w:rsid w:val="005B6CA4"/>
    <w:rsid w:val="005C2440"/>
    <w:rsid w:val="005C3497"/>
    <w:rsid w:val="005C5696"/>
    <w:rsid w:val="005D4125"/>
    <w:rsid w:val="005D5A35"/>
    <w:rsid w:val="005E0931"/>
    <w:rsid w:val="005F6D0A"/>
    <w:rsid w:val="0061315F"/>
    <w:rsid w:val="00616B1A"/>
    <w:rsid w:val="00626BC2"/>
    <w:rsid w:val="0063217B"/>
    <w:rsid w:val="00634C49"/>
    <w:rsid w:val="00641833"/>
    <w:rsid w:val="00644A1B"/>
    <w:rsid w:val="006478A5"/>
    <w:rsid w:val="00650303"/>
    <w:rsid w:val="006532F9"/>
    <w:rsid w:val="00655F59"/>
    <w:rsid w:val="0066158A"/>
    <w:rsid w:val="00671F1B"/>
    <w:rsid w:val="006800B7"/>
    <w:rsid w:val="00685470"/>
    <w:rsid w:val="006A0770"/>
    <w:rsid w:val="006B3A89"/>
    <w:rsid w:val="006C09D7"/>
    <w:rsid w:val="006C42CB"/>
    <w:rsid w:val="006C4637"/>
    <w:rsid w:val="006E2A9C"/>
    <w:rsid w:val="006E359F"/>
    <w:rsid w:val="006F3DC6"/>
    <w:rsid w:val="0070153C"/>
    <w:rsid w:val="00711E83"/>
    <w:rsid w:val="00715CDA"/>
    <w:rsid w:val="007201CB"/>
    <w:rsid w:val="00720CED"/>
    <w:rsid w:val="0072432C"/>
    <w:rsid w:val="00730841"/>
    <w:rsid w:val="0073092E"/>
    <w:rsid w:val="00731991"/>
    <w:rsid w:val="00735C12"/>
    <w:rsid w:val="00736A9A"/>
    <w:rsid w:val="00736C56"/>
    <w:rsid w:val="00747325"/>
    <w:rsid w:val="00755211"/>
    <w:rsid w:val="0076073A"/>
    <w:rsid w:val="00767807"/>
    <w:rsid w:val="007712C4"/>
    <w:rsid w:val="00775081"/>
    <w:rsid w:val="00784794"/>
    <w:rsid w:val="00784A14"/>
    <w:rsid w:val="007908ED"/>
    <w:rsid w:val="007909FB"/>
    <w:rsid w:val="00793CFA"/>
    <w:rsid w:val="00796407"/>
    <w:rsid w:val="007A22BD"/>
    <w:rsid w:val="007D118F"/>
    <w:rsid w:val="007E6602"/>
    <w:rsid w:val="007E7A06"/>
    <w:rsid w:val="007F582D"/>
    <w:rsid w:val="00803DA0"/>
    <w:rsid w:val="0081280B"/>
    <w:rsid w:val="00823CA6"/>
    <w:rsid w:val="0083763B"/>
    <w:rsid w:val="008515E6"/>
    <w:rsid w:val="00851714"/>
    <w:rsid w:val="00851C0C"/>
    <w:rsid w:val="00852B92"/>
    <w:rsid w:val="008557B7"/>
    <w:rsid w:val="00865055"/>
    <w:rsid w:val="00866B06"/>
    <w:rsid w:val="00870FF1"/>
    <w:rsid w:val="00882D08"/>
    <w:rsid w:val="008840A5"/>
    <w:rsid w:val="00891C7B"/>
    <w:rsid w:val="008937C2"/>
    <w:rsid w:val="008951A9"/>
    <w:rsid w:val="008A3D55"/>
    <w:rsid w:val="008B114F"/>
    <w:rsid w:val="008B4DA1"/>
    <w:rsid w:val="008C0C0A"/>
    <w:rsid w:val="008C14CB"/>
    <w:rsid w:val="008F3884"/>
    <w:rsid w:val="00906663"/>
    <w:rsid w:val="00911836"/>
    <w:rsid w:val="009137E8"/>
    <w:rsid w:val="009268D4"/>
    <w:rsid w:val="00927CD8"/>
    <w:rsid w:val="00932E27"/>
    <w:rsid w:val="00954602"/>
    <w:rsid w:val="00955152"/>
    <w:rsid w:val="00957CD3"/>
    <w:rsid w:val="0096049C"/>
    <w:rsid w:val="0096688F"/>
    <w:rsid w:val="009673FC"/>
    <w:rsid w:val="0097304C"/>
    <w:rsid w:val="009751A5"/>
    <w:rsid w:val="00980C5B"/>
    <w:rsid w:val="00996AC0"/>
    <w:rsid w:val="00997F4A"/>
    <w:rsid w:val="009B0370"/>
    <w:rsid w:val="009B388B"/>
    <w:rsid w:val="009C04B0"/>
    <w:rsid w:val="009C26BC"/>
    <w:rsid w:val="009C581A"/>
    <w:rsid w:val="009D580B"/>
    <w:rsid w:val="009E3400"/>
    <w:rsid w:val="00A10FCB"/>
    <w:rsid w:val="00A12E07"/>
    <w:rsid w:val="00A132A9"/>
    <w:rsid w:val="00A1686C"/>
    <w:rsid w:val="00A272E1"/>
    <w:rsid w:val="00A30857"/>
    <w:rsid w:val="00A3443B"/>
    <w:rsid w:val="00A4263E"/>
    <w:rsid w:val="00A45BC5"/>
    <w:rsid w:val="00A519EB"/>
    <w:rsid w:val="00A54363"/>
    <w:rsid w:val="00A55056"/>
    <w:rsid w:val="00A56255"/>
    <w:rsid w:val="00A635FA"/>
    <w:rsid w:val="00A6779A"/>
    <w:rsid w:val="00A805C5"/>
    <w:rsid w:val="00AA4A22"/>
    <w:rsid w:val="00AB4F8B"/>
    <w:rsid w:val="00AB5A82"/>
    <w:rsid w:val="00AC5B17"/>
    <w:rsid w:val="00AE240E"/>
    <w:rsid w:val="00AE3605"/>
    <w:rsid w:val="00AE4B15"/>
    <w:rsid w:val="00AF0B8D"/>
    <w:rsid w:val="00AF1A48"/>
    <w:rsid w:val="00B00184"/>
    <w:rsid w:val="00B111B8"/>
    <w:rsid w:val="00B22875"/>
    <w:rsid w:val="00B2698E"/>
    <w:rsid w:val="00B45343"/>
    <w:rsid w:val="00B47C80"/>
    <w:rsid w:val="00B5510A"/>
    <w:rsid w:val="00B61638"/>
    <w:rsid w:val="00B63743"/>
    <w:rsid w:val="00B65588"/>
    <w:rsid w:val="00B66F9E"/>
    <w:rsid w:val="00B714C9"/>
    <w:rsid w:val="00B7533E"/>
    <w:rsid w:val="00B76649"/>
    <w:rsid w:val="00B76F48"/>
    <w:rsid w:val="00B80C91"/>
    <w:rsid w:val="00B81885"/>
    <w:rsid w:val="00B82270"/>
    <w:rsid w:val="00B82EF3"/>
    <w:rsid w:val="00B85C21"/>
    <w:rsid w:val="00B90B8F"/>
    <w:rsid w:val="00BC2273"/>
    <w:rsid w:val="00BC6FD8"/>
    <w:rsid w:val="00BE0FC2"/>
    <w:rsid w:val="00BF0B8F"/>
    <w:rsid w:val="00BF11E2"/>
    <w:rsid w:val="00BF6DB6"/>
    <w:rsid w:val="00C326A8"/>
    <w:rsid w:val="00C8230B"/>
    <w:rsid w:val="00C855C2"/>
    <w:rsid w:val="00C96969"/>
    <w:rsid w:val="00CD1A1E"/>
    <w:rsid w:val="00CF09E9"/>
    <w:rsid w:val="00D03B84"/>
    <w:rsid w:val="00D2230A"/>
    <w:rsid w:val="00D44517"/>
    <w:rsid w:val="00D73D64"/>
    <w:rsid w:val="00D77B4C"/>
    <w:rsid w:val="00D77B9B"/>
    <w:rsid w:val="00D81D87"/>
    <w:rsid w:val="00D8716F"/>
    <w:rsid w:val="00D87B10"/>
    <w:rsid w:val="00D92FF1"/>
    <w:rsid w:val="00D96E24"/>
    <w:rsid w:val="00DA4318"/>
    <w:rsid w:val="00DB3393"/>
    <w:rsid w:val="00DC1FEA"/>
    <w:rsid w:val="00DC347A"/>
    <w:rsid w:val="00DD5F89"/>
    <w:rsid w:val="00DD7C7C"/>
    <w:rsid w:val="00DE0753"/>
    <w:rsid w:val="00DE21C7"/>
    <w:rsid w:val="00DF5E2F"/>
    <w:rsid w:val="00DF7AA1"/>
    <w:rsid w:val="00E068CE"/>
    <w:rsid w:val="00E06F89"/>
    <w:rsid w:val="00E0754F"/>
    <w:rsid w:val="00E1546E"/>
    <w:rsid w:val="00E22588"/>
    <w:rsid w:val="00E24558"/>
    <w:rsid w:val="00E341DD"/>
    <w:rsid w:val="00E35284"/>
    <w:rsid w:val="00E367F7"/>
    <w:rsid w:val="00E466F9"/>
    <w:rsid w:val="00E57A02"/>
    <w:rsid w:val="00E73AD5"/>
    <w:rsid w:val="00E83A51"/>
    <w:rsid w:val="00E84998"/>
    <w:rsid w:val="00E9430A"/>
    <w:rsid w:val="00EA3A4D"/>
    <w:rsid w:val="00EB708B"/>
    <w:rsid w:val="00ED11AE"/>
    <w:rsid w:val="00EE53C7"/>
    <w:rsid w:val="00EF3F22"/>
    <w:rsid w:val="00EF5E5F"/>
    <w:rsid w:val="00EF679F"/>
    <w:rsid w:val="00F01D12"/>
    <w:rsid w:val="00F02975"/>
    <w:rsid w:val="00F04AF4"/>
    <w:rsid w:val="00F10179"/>
    <w:rsid w:val="00F1552A"/>
    <w:rsid w:val="00F16330"/>
    <w:rsid w:val="00F22F89"/>
    <w:rsid w:val="00F47282"/>
    <w:rsid w:val="00F47C74"/>
    <w:rsid w:val="00F5750E"/>
    <w:rsid w:val="00F64DAD"/>
    <w:rsid w:val="00F654E7"/>
    <w:rsid w:val="00F65AA0"/>
    <w:rsid w:val="00F97852"/>
    <w:rsid w:val="00FA4374"/>
    <w:rsid w:val="00FB2239"/>
    <w:rsid w:val="00FB6836"/>
    <w:rsid w:val="00FC502D"/>
    <w:rsid w:val="00FC5395"/>
    <w:rsid w:val="00FC6028"/>
    <w:rsid w:val="00FD6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E693"/>
  <w15:chartTrackingRefBased/>
  <w15:docId w15:val="{EFDBD077-A731-3F4C-84FC-4C5493CD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8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8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8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8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82F"/>
    <w:rPr>
      <w:rFonts w:eastAsiaTheme="majorEastAsia" w:cstheme="majorBidi"/>
      <w:color w:val="272727" w:themeColor="text1" w:themeTint="D8"/>
    </w:rPr>
  </w:style>
  <w:style w:type="paragraph" w:styleId="Title">
    <w:name w:val="Title"/>
    <w:basedOn w:val="Normal"/>
    <w:next w:val="Normal"/>
    <w:link w:val="TitleChar"/>
    <w:uiPriority w:val="10"/>
    <w:qFormat/>
    <w:rsid w:val="002448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8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8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482F"/>
    <w:rPr>
      <w:i/>
      <w:iCs/>
      <w:color w:val="404040" w:themeColor="text1" w:themeTint="BF"/>
    </w:rPr>
  </w:style>
  <w:style w:type="paragraph" w:styleId="ListParagraph">
    <w:name w:val="List Paragraph"/>
    <w:basedOn w:val="Normal"/>
    <w:uiPriority w:val="34"/>
    <w:qFormat/>
    <w:rsid w:val="0024482F"/>
    <w:pPr>
      <w:ind w:left="720"/>
      <w:contextualSpacing/>
    </w:pPr>
  </w:style>
  <w:style w:type="character" w:styleId="IntenseEmphasis">
    <w:name w:val="Intense Emphasis"/>
    <w:basedOn w:val="DefaultParagraphFont"/>
    <w:uiPriority w:val="21"/>
    <w:qFormat/>
    <w:rsid w:val="0024482F"/>
    <w:rPr>
      <w:i/>
      <w:iCs/>
      <w:color w:val="0F4761" w:themeColor="accent1" w:themeShade="BF"/>
    </w:rPr>
  </w:style>
  <w:style w:type="paragraph" w:styleId="IntenseQuote">
    <w:name w:val="Intense Quote"/>
    <w:basedOn w:val="Normal"/>
    <w:next w:val="Normal"/>
    <w:link w:val="IntenseQuoteChar"/>
    <w:uiPriority w:val="30"/>
    <w:qFormat/>
    <w:rsid w:val="00244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82F"/>
    <w:rPr>
      <w:i/>
      <w:iCs/>
      <w:color w:val="0F4761" w:themeColor="accent1" w:themeShade="BF"/>
    </w:rPr>
  </w:style>
  <w:style w:type="character" w:styleId="IntenseReference">
    <w:name w:val="Intense Reference"/>
    <w:basedOn w:val="DefaultParagraphFont"/>
    <w:uiPriority w:val="32"/>
    <w:qFormat/>
    <w:rsid w:val="0024482F"/>
    <w:rPr>
      <w:b/>
      <w:bCs/>
      <w:smallCaps/>
      <w:color w:val="0F4761" w:themeColor="accent1" w:themeShade="BF"/>
      <w:spacing w:val="5"/>
    </w:rPr>
  </w:style>
  <w:style w:type="table" w:styleId="TableGrid">
    <w:name w:val="Table Grid"/>
    <w:basedOn w:val="TableNormal"/>
    <w:uiPriority w:val="39"/>
    <w:rsid w:val="00913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40E"/>
    <w:pPr>
      <w:tabs>
        <w:tab w:val="center" w:pos="4513"/>
        <w:tab w:val="right" w:pos="9026"/>
      </w:tabs>
    </w:pPr>
  </w:style>
  <w:style w:type="character" w:customStyle="1" w:styleId="HeaderChar">
    <w:name w:val="Header Char"/>
    <w:basedOn w:val="DefaultParagraphFont"/>
    <w:link w:val="Header"/>
    <w:uiPriority w:val="99"/>
    <w:rsid w:val="00AE240E"/>
  </w:style>
  <w:style w:type="paragraph" w:styleId="Footer">
    <w:name w:val="footer"/>
    <w:basedOn w:val="Normal"/>
    <w:link w:val="FooterChar"/>
    <w:uiPriority w:val="99"/>
    <w:unhideWhenUsed/>
    <w:rsid w:val="00AE240E"/>
    <w:pPr>
      <w:tabs>
        <w:tab w:val="center" w:pos="4513"/>
        <w:tab w:val="right" w:pos="9026"/>
      </w:tabs>
    </w:pPr>
  </w:style>
  <w:style w:type="character" w:customStyle="1" w:styleId="FooterChar">
    <w:name w:val="Footer Char"/>
    <w:basedOn w:val="DefaultParagraphFont"/>
    <w:link w:val="Footer"/>
    <w:uiPriority w:val="99"/>
    <w:rsid w:val="00AE240E"/>
  </w:style>
  <w:style w:type="character" w:styleId="PageNumber">
    <w:name w:val="page number"/>
    <w:basedOn w:val="DefaultParagraphFont"/>
    <w:uiPriority w:val="99"/>
    <w:semiHidden/>
    <w:unhideWhenUsed/>
    <w:rsid w:val="00AE240E"/>
  </w:style>
  <w:style w:type="character" w:styleId="Hyperlink">
    <w:name w:val="Hyperlink"/>
    <w:basedOn w:val="DefaultParagraphFont"/>
    <w:uiPriority w:val="99"/>
    <w:unhideWhenUsed/>
    <w:rsid w:val="001C795A"/>
    <w:rPr>
      <w:color w:val="467886" w:themeColor="hyperlink"/>
      <w:u w:val="single"/>
    </w:rPr>
  </w:style>
  <w:style w:type="character" w:styleId="UnresolvedMention">
    <w:name w:val="Unresolved Mention"/>
    <w:basedOn w:val="DefaultParagraphFont"/>
    <w:uiPriority w:val="99"/>
    <w:semiHidden/>
    <w:unhideWhenUsed/>
    <w:rsid w:val="001C795A"/>
    <w:rPr>
      <w:color w:val="605E5C"/>
      <w:shd w:val="clear" w:color="auto" w:fill="E1DFDD"/>
    </w:rPr>
  </w:style>
  <w:style w:type="character" w:styleId="CommentReference">
    <w:name w:val="annotation reference"/>
    <w:basedOn w:val="DefaultParagraphFont"/>
    <w:uiPriority w:val="99"/>
    <w:semiHidden/>
    <w:unhideWhenUsed/>
    <w:rsid w:val="00090330"/>
    <w:rPr>
      <w:sz w:val="16"/>
      <w:szCs w:val="16"/>
    </w:rPr>
  </w:style>
  <w:style w:type="paragraph" w:styleId="CommentText">
    <w:name w:val="annotation text"/>
    <w:basedOn w:val="Normal"/>
    <w:link w:val="CommentTextChar"/>
    <w:uiPriority w:val="99"/>
    <w:unhideWhenUsed/>
    <w:rsid w:val="00090330"/>
    <w:rPr>
      <w:sz w:val="20"/>
      <w:szCs w:val="20"/>
    </w:rPr>
  </w:style>
  <w:style w:type="character" w:customStyle="1" w:styleId="CommentTextChar">
    <w:name w:val="Comment Text Char"/>
    <w:basedOn w:val="DefaultParagraphFont"/>
    <w:link w:val="CommentText"/>
    <w:uiPriority w:val="99"/>
    <w:rsid w:val="00090330"/>
    <w:rPr>
      <w:sz w:val="20"/>
      <w:szCs w:val="20"/>
    </w:rPr>
  </w:style>
  <w:style w:type="paragraph" w:styleId="CommentSubject">
    <w:name w:val="annotation subject"/>
    <w:basedOn w:val="CommentText"/>
    <w:next w:val="CommentText"/>
    <w:link w:val="CommentSubjectChar"/>
    <w:uiPriority w:val="99"/>
    <w:semiHidden/>
    <w:unhideWhenUsed/>
    <w:rsid w:val="00090330"/>
    <w:rPr>
      <w:b/>
      <w:bCs/>
    </w:rPr>
  </w:style>
  <w:style w:type="character" w:customStyle="1" w:styleId="CommentSubjectChar">
    <w:name w:val="Comment Subject Char"/>
    <w:basedOn w:val="CommentTextChar"/>
    <w:link w:val="CommentSubject"/>
    <w:uiPriority w:val="99"/>
    <w:semiHidden/>
    <w:rsid w:val="00090330"/>
    <w:rPr>
      <w:b/>
      <w:bCs/>
      <w:sz w:val="20"/>
      <w:szCs w:val="20"/>
    </w:rPr>
  </w:style>
  <w:style w:type="paragraph" w:styleId="Revision">
    <w:name w:val="Revision"/>
    <w:hidden/>
    <w:uiPriority w:val="99"/>
    <w:semiHidden/>
    <w:rsid w:val="000105C3"/>
  </w:style>
  <w:style w:type="character" w:styleId="FollowedHyperlink">
    <w:name w:val="FollowedHyperlink"/>
    <w:basedOn w:val="DefaultParagraphFont"/>
    <w:uiPriority w:val="99"/>
    <w:semiHidden/>
    <w:unhideWhenUsed/>
    <w:rsid w:val="006C09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palaeo.org/code-of-conduct" TargetMode="External"/><Relationship Id="rId18" Type="http://schemas.openxmlformats.org/officeDocument/2006/relationships/hyperlink" Target="https://www.openpalaeo.org/code-of-conduct" TargetMode="External"/><Relationship Id="rId26" Type="http://schemas.openxmlformats.org/officeDocument/2006/relationships/hyperlink" Target="https://royalsocietypublishing.org/doi/10.1098/rspb.2021.2708" TargetMode="External"/><Relationship Id="rId3" Type="http://schemas.openxmlformats.org/officeDocument/2006/relationships/settings" Target="settings.xml"/><Relationship Id="rId21" Type="http://schemas.openxmlformats.org/officeDocument/2006/relationships/hyperlink" Target="https://www.diatombase.org/" TargetMode="External"/><Relationship Id="rId34" Type="http://schemas.openxmlformats.org/officeDocument/2006/relationships/footer" Target="footer5.xml"/><Relationship Id="rId7" Type="http://schemas.openxmlformats.org/officeDocument/2006/relationships/hyperlink" Target="https://www.openpalaeo.org/libraryFiles/downloadPublic/235" TargetMode="External"/><Relationship Id="rId12" Type="http://schemas.openxmlformats.org/officeDocument/2006/relationships/hyperlink" Target="https://www.un.org/geospatial/mapsgeo" TargetMode="External"/><Relationship Id="rId17" Type="http://schemas.openxmlformats.org/officeDocument/2006/relationships/footer" Target="footer3.xml"/><Relationship Id="rId25" Type="http://schemas.openxmlformats.org/officeDocument/2006/relationships/hyperlink" Target="https://www.diatombase.org"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plantfossilnames.org/" TargetMode="External"/><Relationship Id="rId29" Type="http://schemas.openxmlformats.org/officeDocument/2006/relationships/hyperlink" Target="https://www.openpalaeo.org/code-of-condu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plantfossilnames.org" TargetMode="External"/><Relationship Id="rId32" Type="http://schemas.openxmlformats.org/officeDocument/2006/relationships/hyperlink" Target="https://www.acs.org/about/diversity/inclusivity-style-guide.html"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iaptglobal.org/icn" TargetMode="External"/><Relationship Id="rId28" Type="http://schemas.openxmlformats.org/officeDocument/2006/relationships/hyperlink" Target="https://www.researchgate.net/publication/371695912_Inclusive_and_productive_ways_forward_needed_for_species-naming_conventions" TargetMode="External"/><Relationship Id="rId36" Type="http://schemas.openxmlformats.org/officeDocument/2006/relationships/theme" Target="theme/theme1.xml"/><Relationship Id="rId10" Type="http://schemas.openxmlformats.org/officeDocument/2006/relationships/hyperlink" Target="https://stratigraphy.org/chart" TargetMode="External"/><Relationship Id="rId19" Type="http://schemas.openxmlformats.org/officeDocument/2006/relationships/hyperlink" Target="https://zoobank.org/" TargetMode="External"/><Relationship Id="rId31" Type="http://schemas.openxmlformats.org/officeDocument/2006/relationships/hyperlink" Target="https://www.apa.org/about/apa/equity-diversity-inclusion/language-guidelines" TargetMode="External"/><Relationship Id="rId4" Type="http://schemas.openxmlformats.org/officeDocument/2006/relationships/webSettings" Target="webSettings.xml"/><Relationship Id="rId9" Type="http://schemas.openxmlformats.org/officeDocument/2006/relationships/hyperlink" Target="https://physics.nist.gov/cuu/pdf/sp811.pdf" TargetMode="External"/><Relationship Id="rId14" Type="http://schemas.openxmlformats.org/officeDocument/2006/relationships/footer" Target="footer1.xml"/><Relationship Id="rId22" Type="http://schemas.openxmlformats.org/officeDocument/2006/relationships/hyperlink" Target="https://www.iczn.org/the-code/the-code-online/" TargetMode="External"/><Relationship Id="rId27" Type="http://schemas.openxmlformats.org/officeDocument/2006/relationships/hyperlink" Target="https://www.nature.com/articles/s41599-021-00975-8" TargetMode="External"/><Relationship Id="rId30" Type="http://schemas.openxmlformats.org/officeDocument/2006/relationships/hyperlink" Target="https://www.diversitystyleguide.com" TargetMode="External"/><Relationship Id="rId35" Type="http://schemas.openxmlformats.org/officeDocument/2006/relationships/fontTable" Target="fontTable.xml"/><Relationship Id="rId8" Type="http://schemas.openxmlformats.org/officeDocument/2006/relationships/hyperlink" Target="https://www.overleaf.com/read/ytzgdpmjcg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3782</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Drage</dc:creator>
  <cp:keywords/>
  <dc:description/>
  <cp:lastModifiedBy>Harriet Drage</cp:lastModifiedBy>
  <cp:revision>126</cp:revision>
  <dcterms:created xsi:type="dcterms:W3CDTF">2025-02-06T08:09:00Z</dcterms:created>
  <dcterms:modified xsi:type="dcterms:W3CDTF">2025-02-06T14:48:00Z</dcterms:modified>
</cp:coreProperties>
</file>